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CBA3" w14:textId="77777777" w:rsidR="00175565" w:rsidRPr="00175565" w:rsidRDefault="00175565" w:rsidP="00175565">
      <w:pPr>
        <w:pBdr>
          <w:bottom w:val="single" w:sz="12" w:space="8" w:color="000000"/>
        </w:pBdr>
        <w:spacing w:before="360" w:after="48" w:line="240" w:lineRule="auto"/>
        <w:jc w:val="center"/>
        <w:outlineLvl w:val="0"/>
        <w:rPr>
          <w:rFonts w:ascii="Arial" w:eastAsia="Times New Roman" w:hAnsi="Arial" w:cs="Arial"/>
          <w:b/>
          <w:bCs/>
          <w:color w:val="000000"/>
          <w:kern w:val="36"/>
          <w:sz w:val="43"/>
          <w:szCs w:val="43"/>
          <w14:ligatures w14:val="none"/>
        </w:rPr>
      </w:pPr>
      <w:r w:rsidRPr="00175565">
        <w:rPr>
          <w:rFonts w:ascii="Arial" w:eastAsia="Times New Roman" w:hAnsi="Arial" w:cs="Arial"/>
          <w:b/>
          <w:bCs/>
          <w:color w:val="000000"/>
          <w:kern w:val="36"/>
          <w:sz w:val="43"/>
          <w:szCs w:val="43"/>
          <w14:ligatures w14:val="none"/>
        </w:rPr>
        <w:t>Integrated Chitosan–Biochar Immobilization Platform for PFAS-Impacted Soil and Water Remediation</w:t>
      </w:r>
    </w:p>
    <w:p w14:paraId="3F66133E" w14:textId="1F88E934" w:rsidR="00175565" w:rsidRPr="00175565" w:rsidRDefault="00175565" w:rsidP="00175565">
      <w:pPr>
        <w:spacing w:after="0" w:line="240" w:lineRule="auto"/>
        <w:jc w:val="center"/>
        <w:rPr>
          <w:rFonts w:ascii="Arial" w:eastAsia="Times New Roman" w:hAnsi="Arial" w:cs="Arial"/>
          <w:i/>
          <w:iCs/>
          <w:color w:val="000000"/>
          <w:kern w:val="0"/>
          <w:sz w:val="26"/>
          <w:szCs w:val="26"/>
          <w14:ligatures w14:val="none"/>
        </w:rPr>
      </w:pPr>
      <w:r w:rsidRPr="00175565">
        <w:rPr>
          <w:rFonts w:ascii="Arial" w:eastAsia="Times New Roman" w:hAnsi="Arial" w:cs="Arial"/>
          <w:i/>
          <w:iCs/>
          <w:color w:val="000000"/>
          <w:kern w:val="0"/>
          <w:sz w:val="26"/>
          <w:szCs w:val="26"/>
          <w14:ligatures w14:val="none"/>
        </w:rPr>
        <w:t xml:space="preserve">Technical White </w:t>
      </w:r>
      <w:proofErr w:type="gramStart"/>
      <w:r w:rsidRPr="00175565">
        <w:rPr>
          <w:rFonts w:ascii="Arial" w:eastAsia="Times New Roman" w:hAnsi="Arial" w:cs="Arial"/>
          <w:i/>
          <w:iCs/>
          <w:color w:val="000000"/>
          <w:kern w:val="0"/>
          <w:sz w:val="26"/>
          <w:szCs w:val="26"/>
          <w14:ligatures w14:val="none"/>
        </w:rPr>
        <w:t>Paper  -</w:t>
      </w:r>
      <w:proofErr w:type="gramEnd"/>
      <w:r w:rsidRPr="00175565">
        <w:rPr>
          <w:rFonts w:ascii="Arial" w:eastAsia="Times New Roman" w:hAnsi="Arial" w:cs="Arial"/>
          <w:i/>
          <w:iCs/>
          <w:color w:val="000000"/>
          <w:kern w:val="0"/>
          <w:sz w:val="18"/>
          <w:szCs w:val="18"/>
          <w14:ligatures w14:val="none"/>
        </w:rPr>
        <w:t>  Copyright 2026 Shield Nutraceuticals, Inc./Chitosan Global</w:t>
      </w:r>
      <w:r>
        <w:rPr>
          <w:rFonts w:ascii="Arial" w:eastAsia="Times New Roman" w:hAnsi="Arial" w:cs="Arial"/>
          <w:i/>
          <w:iCs/>
          <w:color w:val="000000"/>
          <w:kern w:val="0"/>
          <w:sz w:val="18"/>
          <w:szCs w:val="18"/>
          <w14:ligatures w14:val="none"/>
        </w:rPr>
        <w:t xml:space="preserve"> Contact John Hott: john@chitosanglobal.com</w:t>
      </w:r>
    </w:p>
    <w:p w14:paraId="49FD0212"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The remediation of per- and polyfluoroalkyl substances (PFAS) requires robust, multi-stage intervention due to the recalcitrance, mobility, and regulatory stringency associated with these compounds. This technical white paper presents a formal protocol and rationale for an integrated remediation platform utilizing a chitosan–biochar composite. Specifically, this platform leverages chitosan oligosaccharide-hydrochloride (COS-HCl) as a highly reactive, positive-charge supplemental amendment, hybridized with high-surface-area engineered biochar.</w:t>
      </w:r>
    </w:p>
    <w:p w14:paraId="0A45507F"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 xml:space="preserve">The proposed amendment specification utilizes COS-HCl with a degree of deacetylation (DDA) of 98%, a molecular weight of 3 </w:t>
      </w:r>
      <w:proofErr w:type="spellStart"/>
      <w:r w:rsidRPr="00175565">
        <w:rPr>
          <w:rFonts w:ascii="Lora" w:eastAsia="Times New Roman" w:hAnsi="Lora" w:cs="Times New Roman"/>
          <w:color w:val="000000"/>
          <w:kern w:val="0"/>
          <w:sz w:val="22"/>
          <w:szCs w:val="22"/>
          <w14:ligatures w14:val="none"/>
        </w:rPr>
        <w:t>kDa</w:t>
      </w:r>
      <w:proofErr w:type="spellEnd"/>
      <w:r w:rsidRPr="00175565">
        <w:rPr>
          <w:rFonts w:ascii="Lora" w:eastAsia="Times New Roman" w:hAnsi="Lora" w:cs="Times New Roman"/>
          <w:color w:val="000000"/>
          <w:kern w:val="0"/>
          <w:sz w:val="22"/>
          <w:szCs w:val="22"/>
          <w14:ligatures w14:val="none"/>
        </w:rPr>
        <w:t>, and a surface charge of approximately +71 mV. It is critical to state that COS-HCl is proposed herein as a </w:t>
      </w:r>
      <w:r w:rsidRPr="00175565">
        <w:rPr>
          <w:rFonts w:ascii="Lora" w:eastAsia="Times New Roman" w:hAnsi="Lora" w:cs="Times New Roman"/>
          <w:i/>
          <w:iCs/>
          <w:color w:val="000000"/>
          <w:kern w:val="0"/>
          <w:sz w:val="22"/>
          <w:szCs w:val="22"/>
          <w14:ligatures w14:val="none"/>
        </w:rPr>
        <w:t>supplemental amendment</w:t>
      </w:r>
      <w:r w:rsidRPr="00175565">
        <w:rPr>
          <w:rFonts w:ascii="Lora" w:eastAsia="Times New Roman" w:hAnsi="Lora" w:cs="Times New Roman"/>
          <w:color w:val="000000"/>
          <w:kern w:val="0"/>
          <w:sz w:val="22"/>
          <w:szCs w:val="22"/>
          <w14:ligatures w14:val="none"/>
        </w:rPr>
        <w:t>—designed to be stabilized onto a biochar matrix—rather than a standalone remedy. When integrated correctly, this platform acts as a critical component within a broader treatment train that includes source delineation, hotspot excavation, hydraulic containment, and point-of-entry guard beds.</w:t>
      </w:r>
    </w:p>
    <w:p w14:paraId="202DD774" w14:textId="77777777" w:rsidR="00175565" w:rsidRPr="00175565" w:rsidRDefault="00175565" w:rsidP="00175565">
      <w:pPr>
        <w:pBdr>
          <w:bottom w:val="single" w:sz="6" w:space="4" w:color="000000"/>
        </w:pBdr>
        <w:shd w:val="clear" w:color="auto" w:fill="FCFCFC"/>
        <w:spacing w:after="120" w:line="240" w:lineRule="auto"/>
        <w:outlineLvl w:val="3"/>
        <w:rPr>
          <w:rFonts w:ascii="Arial" w:eastAsia="Times New Roman" w:hAnsi="Arial" w:cs="Arial"/>
          <w:b/>
          <w:bCs/>
          <w:caps/>
          <w:color w:val="000000"/>
          <w:kern w:val="0"/>
          <w:sz w:val="21"/>
          <w:szCs w:val="21"/>
          <w14:ligatures w14:val="none"/>
        </w:rPr>
      </w:pPr>
      <w:r w:rsidRPr="00175565">
        <w:rPr>
          <w:rFonts w:ascii="Arial" w:eastAsia="Times New Roman" w:hAnsi="Arial" w:cs="Arial"/>
          <w:b/>
          <w:bCs/>
          <w:caps/>
          <w:color w:val="000000"/>
          <w:kern w:val="0"/>
          <w:sz w:val="21"/>
          <w:szCs w:val="21"/>
          <w14:ligatures w14:val="none"/>
        </w:rPr>
        <w:t>Grant Review Value Proposition</w:t>
      </w:r>
    </w:p>
    <w:p w14:paraId="19AF4347" w14:textId="77777777" w:rsidR="00175565" w:rsidRPr="00175565" w:rsidRDefault="00175565" w:rsidP="00175565">
      <w:pPr>
        <w:shd w:val="clear" w:color="auto" w:fill="FCFCFC"/>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This integrated platform directly addresses fundamental gaps in current PFAS remediation practice:</w:t>
      </w:r>
    </w:p>
    <w:p w14:paraId="73B4AEDE" w14:textId="77777777" w:rsidR="00175565" w:rsidRPr="00175565" w:rsidRDefault="00175565" w:rsidP="00175565">
      <w:pPr>
        <w:numPr>
          <w:ilvl w:val="0"/>
          <w:numId w:val="1"/>
        </w:numPr>
        <w:shd w:val="clear" w:color="auto" w:fill="FCFCFC"/>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Source-Mass Reduction:</w:t>
      </w:r>
      <w:r w:rsidRPr="00175565">
        <w:rPr>
          <w:rFonts w:ascii="Lora" w:eastAsia="Times New Roman" w:hAnsi="Lora" w:cs="Times New Roman"/>
          <w:color w:val="000000"/>
          <w:kern w:val="0"/>
          <w:sz w:val="22"/>
          <w:szCs w:val="22"/>
          <w14:ligatures w14:val="none"/>
        </w:rPr>
        <w:t> Stabilizes leachable PFAS in the vadose and saturated zones, driving down long-term mass flux.</w:t>
      </w:r>
    </w:p>
    <w:p w14:paraId="75A55DB3" w14:textId="77777777" w:rsidR="00175565" w:rsidRPr="00175565" w:rsidRDefault="00175565" w:rsidP="00175565">
      <w:pPr>
        <w:numPr>
          <w:ilvl w:val="0"/>
          <w:numId w:val="1"/>
        </w:numPr>
        <w:shd w:val="clear" w:color="auto" w:fill="FCFCFC"/>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Lower Mass Flux:</w:t>
      </w:r>
      <w:r w:rsidRPr="00175565">
        <w:rPr>
          <w:rFonts w:ascii="Lora" w:eastAsia="Times New Roman" w:hAnsi="Lora" w:cs="Times New Roman"/>
          <w:color w:val="000000"/>
          <w:kern w:val="0"/>
          <w:sz w:val="22"/>
          <w:szCs w:val="22"/>
          <w14:ligatures w14:val="none"/>
        </w:rPr>
        <w:t> Reduces the loading burden on downstream water-treatment systems, extending the life of costly Granular Activated Carbon (GAC) and Ion Exchange (IX) resins.</w:t>
      </w:r>
    </w:p>
    <w:p w14:paraId="6408A153" w14:textId="77777777" w:rsidR="00175565" w:rsidRPr="00175565" w:rsidRDefault="00175565" w:rsidP="00175565">
      <w:pPr>
        <w:numPr>
          <w:ilvl w:val="0"/>
          <w:numId w:val="1"/>
        </w:numPr>
        <w:shd w:val="clear" w:color="auto" w:fill="FCFCFC"/>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Renewable Feedstocks:</w:t>
      </w:r>
      <w:r w:rsidRPr="00175565">
        <w:rPr>
          <w:rFonts w:ascii="Lora" w:eastAsia="Times New Roman" w:hAnsi="Lora" w:cs="Times New Roman"/>
          <w:color w:val="000000"/>
          <w:kern w:val="0"/>
          <w:sz w:val="22"/>
          <w:szCs w:val="22"/>
          <w14:ligatures w14:val="none"/>
        </w:rPr>
        <w:t> Utilizes naturally derived biopolymers (chitosan) and carbon-sequestering biochar, improving the sustainability and lifecycle footprint of the remedial action.</w:t>
      </w:r>
    </w:p>
    <w:p w14:paraId="3A21CC63" w14:textId="77777777" w:rsidR="00175565" w:rsidRPr="00175565" w:rsidRDefault="00175565" w:rsidP="00175565">
      <w:pPr>
        <w:numPr>
          <w:ilvl w:val="0"/>
          <w:numId w:val="1"/>
        </w:numPr>
        <w:shd w:val="clear" w:color="auto" w:fill="FCFCFC"/>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Pilotable Implementation:</w:t>
      </w:r>
      <w:r w:rsidRPr="00175565">
        <w:rPr>
          <w:rFonts w:ascii="Lora" w:eastAsia="Times New Roman" w:hAnsi="Lora" w:cs="Times New Roman"/>
          <w:color w:val="000000"/>
          <w:kern w:val="0"/>
          <w:sz w:val="22"/>
          <w:szCs w:val="22"/>
          <w14:ligatures w14:val="none"/>
        </w:rPr>
        <w:t> Integrates smoothly into conventional soil mixing and pump-and-treat frameworks without requiring unproven field equipment.</w:t>
      </w:r>
    </w:p>
    <w:p w14:paraId="3DAAC6A2" w14:textId="77777777"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t>2. Basis for the Integrated Remedy</w:t>
      </w:r>
    </w:p>
    <w:p w14:paraId="5B93186E"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lastRenderedPageBreak/>
        <w:t>According to the Interstate Technology and Regulatory Council (ITRC) [8], PFAS remedial design must adopt a tiered logic. The primary directive is the protection of drinking water and human receptors. Once points-of-exposure are secured, source control and mass-flux reduction are required to mitigate long-term liability.</w:t>
      </w:r>
    </w:p>
    <w:p w14:paraId="351D1D29"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 xml:space="preserve">Field-implemented full-scale technologies for PFAS-impacted liquids are currently dominated by sequestration strategies, specifically GAC, IX, and Reverse Osmosis (RO). However, these technologies face profound limitations. Short-chain PFAS (e.g., PFBS, </w:t>
      </w:r>
      <w:proofErr w:type="spellStart"/>
      <w:r w:rsidRPr="00175565">
        <w:rPr>
          <w:rFonts w:ascii="Lora" w:eastAsia="Times New Roman" w:hAnsi="Lora" w:cs="Times New Roman"/>
          <w:color w:val="000000"/>
          <w:kern w:val="0"/>
          <w:sz w:val="22"/>
          <w:szCs w:val="22"/>
          <w14:ligatures w14:val="none"/>
        </w:rPr>
        <w:t>PFHxA</w:t>
      </w:r>
      <w:proofErr w:type="spellEnd"/>
      <w:r w:rsidRPr="00175565">
        <w:rPr>
          <w:rFonts w:ascii="Lora" w:eastAsia="Times New Roman" w:hAnsi="Lora" w:cs="Times New Roman"/>
          <w:color w:val="000000"/>
          <w:kern w:val="0"/>
          <w:sz w:val="22"/>
          <w:szCs w:val="22"/>
          <w14:ligatures w14:val="none"/>
        </w:rPr>
        <w:t>) experience rapid breakthrough in GAC systems. High concentrations of naturally occurring organic matter (NOM) or total organic carbon (TOC) prematurely foul both GAC and IX media. Furthermore, spent media require carefully controlled disposal, thermal reactivation, or incineration to prevent secondary environmental release. By implementing an upstream chitosan-biochar immobilization step, the proposed architecture curtails the mass flux entering these conventional systems.</w:t>
      </w:r>
    </w:p>
    <w:p w14:paraId="38F488A2" w14:textId="77777777"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t>3. Product and Amendment Rationale</w:t>
      </w:r>
    </w:p>
    <w:p w14:paraId="182A876B"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 xml:space="preserve">Chitosan, derived from chitin, is a unique biopolymer possessing a primary positive electrostatic charge—an attribute highly favorable for binding anionic PFAS. Chitosan Global describes </w:t>
      </w:r>
      <w:proofErr w:type="gramStart"/>
      <w:r w:rsidRPr="00175565">
        <w:rPr>
          <w:rFonts w:ascii="Lora" w:eastAsia="Times New Roman" w:hAnsi="Lora" w:cs="Times New Roman"/>
          <w:color w:val="000000"/>
          <w:kern w:val="0"/>
          <w:sz w:val="22"/>
          <w:szCs w:val="22"/>
          <w14:ligatures w14:val="none"/>
        </w:rPr>
        <w:t>chitosan</w:t>
      </w:r>
      <w:proofErr w:type="gramEnd"/>
      <w:r w:rsidRPr="00175565">
        <w:rPr>
          <w:rFonts w:ascii="Lora" w:eastAsia="Times New Roman" w:hAnsi="Lora" w:cs="Times New Roman"/>
          <w:color w:val="000000"/>
          <w:kern w:val="0"/>
          <w:sz w:val="22"/>
          <w:szCs w:val="22"/>
          <w14:ligatures w14:val="none"/>
        </w:rPr>
        <w:t xml:space="preserve"> as a potent binder capable of integration with biochar and microbial systems for comprehensive soil and water remediation [1].</w:t>
      </w:r>
    </w:p>
    <w:p w14:paraId="3299E22C"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The specific material proposed for this protocol, Chitosan Oligosaccharide Hydrochloride (Mushroom-derived), is highly refined for water-treatment applications [2, 3]. According to the manufacturer's Certificate of Analysis [4], the input specifications include:</w:t>
      </w:r>
    </w:p>
    <w:p w14:paraId="548684B4" w14:textId="77777777" w:rsidR="00175565" w:rsidRPr="00175565" w:rsidRDefault="00175565" w:rsidP="00175565">
      <w:pPr>
        <w:numPr>
          <w:ilvl w:val="0"/>
          <w:numId w:val="2"/>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Purity:</w:t>
      </w:r>
      <w:r w:rsidRPr="00175565">
        <w:rPr>
          <w:rFonts w:ascii="Lora" w:eastAsia="Times New Roman" w:hAnsi="Lora" w:cs="Times New Roman"/>
          <w:color w:val="000000"/>
          <w:kern w:val="0"/>
          <w:sz w:val="22"/>
          <w:szCs w:val="22"/>
          <w14:ligatures w14:val="none"/>
        </w:rPr>
        <w:t> 98.5%</w:t>
      </w:r>
    </w:p>
    <w:p w14:paraId="479DDB9C" w14:textId="77777777" w:rsidR="00175565" w:rsidRPr="00175565" w:rsidRDefault="00175565" w:rsidP="00175565">
      <w:pPr>
        <w:numPr>
          <w:ilvl w:val="0"/>
          <w:numId w:val="2"/>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Viscosity:</w:t>
      </w:r>
      <w:r w:rsidRPr="00175565">
        <w:rPr>
          <w:rFonts w:ascii="Lora" w:eastAsia="Times New Roman" w:hAnsi="Lora" w:cs="Times New Roman"/>
          <w:color w:val="000000"/>
          <w:kern w:val="0"/>
          <w:sz w:val="22"/>
          <w:szCs w:val="22"/>
          <w14:ligatures w14:val="none"/>
        </w:rPr>
        <w:t xml:space="preserve"> 1.3 </w:t>
      </w:r>
      <w:proofErr w:type="spellStart"/>
      <w:r w:rsidRPr="00175565">
        <w:rPr>
          <w:rFonts w:ascii="Lora" w:eastAsia="Times New Roman" w:hAnsi="Lora" w:cs="Times New Roman"/>
          <w:color w:val="000000"/>
          <w:kern w:val="0"/>
          <w:sz w:val="22"/>
          <w:szCs w:val="22"/>
          <w14:ligatures w14:val="none"/>
        </w:rPr>
        <w:t>cS</w:t>
      </w:r>
      <w:proofErr w:type="spellEnd"/>
      <w:r w:rsidRPr="00175565">
        <w:rPr>
          <w:rFonts w:ascii="Lora" w:eastAsia="Times New Roman" w:hAnsi="Lora" w:cs="Times New Roman"/>
          <w:color w:val="000000"/>
          <w:kern w:val="0"/>
          <w:sz w:val="22"/>
          <w:szCs w:val="22"/>
          <w14:ligatures w14:val="none"/>
        </w:rPr>
        <w:t xml:space="preserve"> (indicative of low molecular weight)</w:t>
      </w:r>
    </w:p>
    <w:p w14:paraId="0DFED0EF" w14:textId="77777777" w:rsidR="00175565" w:rsidRPr="00175565" w:rsidRDefault="00175565" w:rsidP="00175565">
      <w:pPr>
        <w:numPr>
          <w:ilvl w:val="0"/>
          <w:numId w:val="2"/>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pH:</w:t>
      </w:r>
      <w:r w:rsidRPr="00175565">
        <w:rPr>
          <w:rFonts w:ascii="Lora" w:eastAsia="Times New Roman" w:hAnsi="Lora" w:cs="Times New Roman"/>
          <w:color w:val="000000"/>
          <w:kern w:val="0"/>
          <w:sz w:val="22"/>
          <w:szCs w:val="22"/>
          <w14:ligatures w14:val="none"/>
        </w:rPr>
        <w:t> 3.40 (1% solution in distilled water)</w:t>
      </w:r>
    </w:p>
    <w:p w14:paraId="03A20B76" w14:textId="77777777" w:rsidR="00175565" w:rsidRPr="00175565" w:rsidRDefault="00175565" w:rsidP="00175565">
      <w:pPr>
        <w:numPr>
          <w:ilvl w:val="0"/>
          <w:numId w:val="2"/>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Solubility:</w:t>
      </w:r>
      <w:r w:rsidRPr="00175565">
        <w:rPr>
          <w:rFonts w:ascii="Lora" w:eastAsia="Times New Roman" w:hAnsi="Lora" w:cs="Times New Roman"/>
          <w:color w:val="000000"/>
          <w:kern w:val="0"/>
          <w:sz w:val="22"/>
          <w:szCs w:val="22"/>
          <w14:ligatures w14:val="none"/>
        </w:rPr>
        <w:t> Fully soluble in water (9.89% in DM water) with minimal insoluble matter (0.10%).</w:t>
      </w:r>
    </w:p>
    <w:p w14:paraId="7A9E6EE7" w14:textId="77777777" w:rsidR="00175565" w:rsidRPr="00175565" w:rsidRDefault="00175565" w:rsidP="00175565">
      <w:pPr>
        <w:pBdr>
          <w:bottom w:val="single" w:sz="6" w:space="4" w:color="000000"/>
        </w:pBdr>
        <w:shd w:val="clear" w:color="auto" w:fill="FCFCFC"/>
        <w:spacing w:after="120" w:line="240" w:lineRule="auto"/>
        <w:outlineLvl w:val="3"/>
        <w:rPr>
          <w:rFonts w:ascii="Arial" w:eastAsia="Times New Roman" w:hAnsi="Arial" w:cs="Arial"/>
          <w:b/>
          <w:bCs/>
          <w:caps/>
          <w:color w:val="000000"/>
          <w:kern w:val="0"/>
          <w:sz w:val="21"/>
          <w:szCs w:val="21"/>
          <w14:ligatures w14:val="none"/>
        </w:rPr>
      </w:pPr>
      <w:r w:rsidRPr="00175565">
        <w:rPr>
          <w:rFonts w:ascii="Arial" w:eastAsia="Times New Roman" w:hAnsi="Arial" w:cs="Arial"/>
          <w:b/>
          <w:bCs/>
          <w:caps/>
          <w:color w:val="000000"/>
          <w:kern w:val="0"/>
          <w:sz w:val="21"/>
          <w:szCs w:val="21"/>
          <w14:ligatures w14:val="none"/>
        </w:rPr>
        <w:t>Why COS-HCl Is Supplemental Rather Than Standalone</w:t>
      </w:r>
    </w:p>
    <w:p w14:paraId="2B11873C" w14:textId="77777777" w:rsidR="00175565" w:rsidRPr="00175565" w:rsidRDefault="00175565" w:rsidP="00175565">
      <w:pPr>
        <w:shd w:val="clear" w:color="auto" w:fill="FCFCFC"/>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While highly pure, soluble COS-HCl provides exceptional charge density (+71 mV), excellent wetting properties, and maximum interfacial contact with PFAS anions, its inherent water solubility is a liability for in situ deployment if used alone. In a standalone application, soluble chitosan would be susceptible to rapid groundwater washout. Therefore, it must be deployed as a </w:t>
      </w:r>
      <w:r w:rsidRPr="00175565">
        <w:rPr>
          <w:rFonts w:ascii="Lora" w:eastAsia="Times New Roman" w:hAnsi="Lora" w:cs="Times New Roman"/>
          <w:i/>
          <w:iCs/>
          <w:color w:val="000000"/>
          <w:kern w:val="0"/>
          <w:sz w:val="22"/>
          <w:szCs w:val="22"/>
          <w14:ligatures w14:val="none"/>
        </w:rPr>
        <w:t>supplemental amendment</w:t>
      </w:r>
      <w:r w:rsidRPr="00175565">
        <w:rPr>
          <w:rFonts w:ascii="Lora" w:eastAsia="Times New Roman" w:hAnsi="Lora" w:cs="Times New Roman"/>
          <w:color w:val="000000"/>
          <w:kern w:val="0"/>
          <w:sz w:val="22"/>
          <w:szCs w:val="22"/>
          <w14:ligatures w14:val="none"/>
        </w:rPr>
        <w:t>. By thoroughly blending the soluble COS-HCl into an engineered biochar matrix during application, the biochar provides a high-</w:t>
      </w:r>
      <w:proofErr w:type="gramStart"/>
      <w:r w:rsidRPr="00175565">
        <w:rPr>
          <w:rFonts w:ascii="Lora" w:eastAsia="Times New Roman" w:hAnsi="Lora" w:cs="Times New Roman"/>
          <w:color w:val="000000"/>
          <w:kern w:val="0"/>
          <w:sz w:val="22"/>
          <w:szCs w:val="22"/>
          <w14:ligatures w14:val="none"/>
        </w:rPr>
        <w:t>surface-area</w:t>
      </w:r>
      <w:proofErr w:type="gramEnd"/>
      <w:r w:rsidRPr="00175565">
        <w:rPr>
          <w:rFonts w:ascii="Lora" w:eastAsia="Times New Roman" w:hAnsi="Lora" w:cs="Times New Roman"/>
          <w:color w:val="000000"/>
          <w:kern w:val="0"/>
          <w:sz w:val="22"/>
          <w:szCs w:val="22"/>
          <w14:ligatures w14:val="none"/>
        </w:rPr>
        <w:t>, stable physical scaffold. The chitosan functionalizes the biochar surface, yielding a resilient composite that resists washout while actively capturing PFAS through complementary electrostatic and hydrophobic mechanisms.</w:t>
      </w:r>
    </w:p>
    <w:p w14:paraId="5A7DD140" w14:textId="77777777"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lastRenderedPageBreak/>
        <w:t>4. Evidence Base from Scientific Literature (2020–Present)</w:t>
      </w:r>
    </w:p>
    <w:p w14:paraId="27D176E4"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The field performance expectations for this platform are derived conservatively from recent peer-reviewed studies investigating integrated chitosan-based adsorbents:</w:t>
      </w:r>
    </w:p>
    <w:p w14:paraId="29CADF39" w14:textId="77777777" w:rsidR="00175565" w:rsidRPr="00175565" w:rsidRDefault="00175565" w:rsidP="00175565">
      <w:pPr>
        <w:numPr>
          <w:ilvl w:val="0"/>
          <w:numId w:val="3"/>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Modified Quaternized Chitosan Hydrogels (MQCGs) [5]:</w:t>
      </w:r>
      <w:r w:rsidRPr="00175565">
        <w:rPr>
          <w:rFonts w:ascii="Lora" w:eastAsia="Times New Roman" w:hAnsi="Lora" w:cs="Times New Roman"/>
          <w:color w:val="000000"/>
          <w:kern w:val="0"/>
          <w:sz w:val="22"/>
          <w:szCs w:val="22"/>
          <w14:ligatures w14:val="none"/>
        </w:rPr>
        <w:t xml:space="preserve"> A 2025 study demonstrated that surface-modified quaternized chitosan achieved complete removal of long-chain PFAS (PFOS, PFOA) and &gt;99.9% removal of short-chain PFAS (PFBS, </w:t>
      </w:r>
      <w:proofErr w:type="spellStart"/>
      <w:r w:rsidRPr="00175565">
        <w:rPr>
          <w:rFonts w:ascii="Lora" w:eastAsia="Times New Roman" w:hAnsi="Lora" w:cs="Times New Roman"/>
          <w:color w:val="000000"/>
          <w:kern w:val="0"/>
          <w:sz w:val="22"/>
          <w:szCs w:val="22"/>
          <w14:ligatures w14:val="none"/>
        </w:rPr>
        <w:t>PFHxA</w:t>
      </w:r>
      <w:proofErr w:type="spellEnd"/>
      <w:r w:rsidRPr="00175565">
        <w:rPr>
          <w:rFonts w:ascii="Lora" w:eastAsia="Times New Roman" w:hAnsi="Lora" w:cs="Times New Roman"/>
          <w:color w:val="000000"/>
          <w:kern w:val="0"/>
          <w:sz w:val="22"/>
          <w:szCs w:val="22"/>
          <w14:ligatures w14:val="none"/>
        </w:rPr>
        <w:t xml:space="preserve">) at 500 </w:t>
      </w:r>
      <w:proofErr w:type="spellStart"/>
      <w:r w:rsidRPr="00175565">
        <w:rPr>
          <w:rFonts w:ascii="Lora" w:eastAsia="Times New Roman" w:hAnsi="Lora" w:cs="Times New Roman"/>
          <w:color w:val="000000"/>
          <w:kern w:val="0"/>
          <w:sz w:val="22"/>
          <w:szCs w:val="22"/>
          <w14:ligatures w14:val="none"/>
        </w:rPr>
        <w:t>μg</w:t>
      </w:r>
      <w:proofErr w:type="spellEnd"/>
      <w:r w:rsidRPr="00175565">
        <w:rPr>
          <w:rFonts w:ascii="Lora" w:eastAsia="Times New Roman" w:hAnsi="Lora" w:cs="Times New Roman"/>
          <w:color w:val="000000"/>
          <w:kern w:val="0"/>
          <w:sz w:val="22"/>
          <w:szCs w:val="22"/>
          <w14:ligatures w14:val="none"/>
        </w:rPr>
        <w:t>/L concentrations. Adsorption of &gt;98% PFOS occurred in &lt;30 minutes. The material was effective across a wide pH window (3 to 12), exhibiting a high zeta potential (+44.8 mV). Furthermore, it was regenerated for 10 cycles using a simple 0.025 M NaCl solution while maintaining ~98% efficiency. The mechanisms identified included electrostatic, hydrophobic, and physical channel interactions.</w:t>
      </w:r>
    </w:p>
    <w:p w14:paraId="66E251BD" w14:textId="77777777" w:rsidR="00175565" w:rsidRPr="00175565" w:rsidRDefault="00175565" w:rsidP="00175565">
      <w:pPr>
        <w:numPr>
          <w:ilvl w:val="0"/>
          <w:numId w:val="3"/>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Chitosan-Coated Covalent Organic Frameworks (COF@CS) [6]:</w:t>
      </w:r>
      <w:r w:rsidRPr="00175565">
        <w:rPr>
          <w:rFonts w:ascii="Lora" w:eastAsia="Times New Roman" w:hAnsi="Lora" w:cs="Times New Roman"/>
          <w:color w:val="000000"/>
          <w:kern w:val="0"/>
          <w:sz w:val="22"/>
          <w:szCs w:val="22"/>
          <w14:ligatures w14:val="none"/>
        </w:rPr>
        <w:t xml:space="preserve"> A 2024 study evaluating a chitosan-coated framework recorded a maximum PFOA capacity of 2.8 mmol/g at pH 5, with a rapid adsorption rate of 6.2 mmol/g/h. The composite was successfully regenerated for 5 cycles utilizing 70% ethanol and 1 </w:t>
      </w:r>
      <w:proofErr w:type="spellStart"/>
      <w:r w:rsidRPr="00175565">
        <w:rPr>
          <w:rFonts w:ascii="Lora" w:eastAsia="Times New Roman" w:hAnsi="Lora" w:cs="Times New Roman"/>
          <w:color w:val="000000"/>
          <w:kern w:val="0"/>
          <w:sz w:val="22"/>
          <w:szCs w:val="22"/>
          <w14:ligatures w14:val="none"/>
        </w:rPr>
        <w:t>wt</w:t>
      </w:r>
      <w:proofErr w:type="spellEnd"/>
      <w:r w:rsidRPr="00175565">
        <w:rPr>
          <w:rFonts w:ascii="Lora" w:eastAsia="Times New Roman" w:hAnsi="Lora" w:cs="Times New Roman"/>
          <w:color w:val="000000"/>
          <w:kern w:val="0"/>
          <w:sz w:val="22"/>
          <w:szCs w:val="22"/>
          <w14:ligatures w14:val="none"/>
        </w:rPr>
        <w:t>% NaCl. The study proved that combining quaternary amines with protonated amino groups from chitosan drives aggressive electrostatic adsorption, reinforcing the necessity of composite integration.</w:t>
      </w:r>
    </w:p>
    <w:p w14:paraId="1366BD2B" w14:textId="77777777" w:rsidR="00175565" w:rsidRPr="00175565" w:rsidRDefault="00175565" w:rsidP="00175565">
      <w:pPr>
        <w:numPr>
          <w:ilvl w:val="0"/>
          <w:numId w:val="3"/>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Chitosan-Modified Magnetic Biochar (CS_MBC) [7]:</w:t>
      </w:r>
      <w:r w:rsidRPr="00175565">
        <w:rPr>
          <w:rFonts w:ascii="Lora" w:eastAsia="Times New Roman" w:hAnsi="Lora" w:cs="Times New Roman"/>
          <w:color w:val="000000"/>
          <w:kern w:val="0"/>
          <w:sz w:val="22"/>
          <w:szCs w:val="22"/>
          <w14:ligatures w14:val="none"/>
        </w:rPr>
        <w:t> A 2025 assessment of chitosan-modified biochar found an optimal 1:1 chitosan loading ratio yielded ~94% PFOA removal. While batch Langmuir capacity was extremely high (~517 mg/g), fixed-bed column experiments demonstrated a practical capacity of 39.63 mg/g. The optimal operational window was pH 4 at a 60-minute contact time. This study emphasizes the need for conservative scale-up, as dynamic column capacities are typically an order of magnitude lower than batch isotherms.</w:t>
      </w:r>
    </w:p>
    <w:p w14:paraId="6773D79C" w14:textId="77777777"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t>5. Proposed Remedial Architecture</w:t>
      </w:r>
    </w:p>
    <w:p w14:paraId="62237654"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The integrated remedy employs a treatment train methodology to address source zones, flux pathways, and point-of-exposure vulnerabilities.</w:t>
      </w:r>
    </w:p>
    <w:p w14:paraId="057F5B9F" w14:textId="77777777" w:rsidR="00175565" w:rsidRPr="00175565" w:rsidRDefault="00175565" w:rsidP="00175565">
      <w:pPr>
        <w:spacing w:after="0" w:line="240" w:lineRule="auto"/>
        <w:jc w:val="center"/>
        <w:rPr>
          <w:rFonts w:ascii="Lora" w:eastAsia="Times New Roman" w:hAnsi="Lora" w:cs="Times New Roman"/>
          <w:color w:val="000000"/>
          <w:kern w:val="0"/>
          <w:sz w:val="22"/>
          <w:szCs w:val="22"/>
          <w14:ligatures w14:val="none"/>
        </w:rPr>
      </w:pPr>
      <w:proofErr w:type="spellStart"/>
      <w:r w:rsidRPr="00175565">
        <w:rPr>
          <w:rFonts w:ascii="Lora" w:eastAsia="Times New Roman" w:hAnsi="Lora" w:cs="Times New Roman"/>
          <w:color w:val="000000"/>
          <w:kern w:val="0"/>
          <w:sz w:val="22"/>
          <w:szCs w:val="22"/>
          <w14:ligatures w14:val="none"/>
        </w:rPr>
        <w:t>SourceDelineationHotspotExcavationAmendment</w:t>
      </w:r>
      <w:proofErr w:type="spellEnd"/>
      <w:r w:rsidRPr="00175565">
        <w:rPr>
          <w:rFonts w:ascii="Lora" w:eastAsia="Times New Roman" w:hAnsi="Lora" w:cs="Times New Roman"/>
          <w:color w:val="000000"/>
          <w:kern w:val="0"/>
          <w:sz w:val="22"/>
          <w:szCs w:val="22"/>
          <w14:ligatures w14:val="none"/>
        </w:rPr>
        <w:t xml:space="preserve"> </w:t>
      </w:r>
      <w:proofErr w:type="spellStart"/>
      <w:r w:rsidRPr="00175565">
        <w:rPr>
          <w:rFonts w:ascii="Lora" w:eastAsia="Times New Roman" w:hAnsi="Lora" w:cs="Times New Roman"/>
          <w:color w:val="000000"/>
          <w:kern w:val="0"/>
          <w:sz w:val="22"/>
          <w:szCs w:val="22"/>
          <w14:ligatures w14:val="none"/>
        </w:rPr>
        <w:t>CellCOS</w:t>
      </w:r>
      <w:proofErr w:type="spellEnd"/>
      <w:r w:rsidRPr="00175565">
        <w:rPr>
          <w:rFonts w:ascii="Lora" w:eastAsia="Times New Roman" w:hAnsi="Lora" w:cs="Times New Roman"/>
          <w:color w:val="000000"/>
          <w:kern w:val="0"/>
          <w:sz w:val="22"/>
          <w:szCs w:val="22"/>
          <w14:ligatures w14:val="none"/>
        </w:rPr>
        <w:t xml:space="preserve">-HCl + </w:t>
      </w:r>
      <w:proofErr w:type="spellStart"/>
      <w:r w:rsidRPr="00175565">
        <w:rPr>
          <w:rFonts w:ascii="Lora" w:eastAsia="Times New Roman" w:hAnsi="Lora" w:cs="Times New Roman"/>
          <w:color w:val="000000"/>
          <w:kern w:val="0"/>
          <w:sz w:val="22"/>
          <w:szCs w:val="22"/>
          <w14:ligatures w14:val="none"/>
        </w:rPr>
        <w:t>BiocharHydraulicControl</w:t>
      </w:r>
      <w:proofErr w:type="spellEnd"/>
      <w:r w:rsidRPr="00175565">
        <w:rPr>
          <w:rFonts w:ascii="Lora" w:eastAsia="Times New Roman" w:hAnsi="Lora" w:cs="Times New Roman"/>
          <w:color w:val="000000"/>
          <w:kern w:val="0"/>
          <w:sz w:val="22"/>
          <w:szCs w:val="22"/>
          <w14:ligatures w14:val="none"/>
        </w:rPr>
        <w:t xml:space="preserve"> / </w:t>
      </w:r>
      <w:proofErr w:type="spellStart"/>
      <w:r w:rsidRPr="00175565">
        <w:rPr>
          <w:rFonts w:ascii="Lora" w:eastAsia="Times New Roman" w:hAnsi="Lora" w:cs="Times New Roman"/>
          <w:color w:val="000000"/>
          <w:kern w:val="0"/>
          <w:sz w:val="22"/>
          <w:szCs w:val="22"/>
          <w14:ligatures w14:val="none"/>
        </w:rPr>
        <w:t>P&amp;TWater</w:t>
      </w:r>
      <w:proofErr w:type="spellEnd"/>
      <w:r w:rsidRPr="00175565">
        <w:rPr>
          <w:rFonts w:ascii="Lora" w:eastAsia="Times New Roman" w:hAnsi="Lora" w:cs="Times New Roman"/>
          <w:color w:val="000000"/>
          <w:kern w:val="0"/>
          <w:sz w:val="22"/>
          <w:szCs w:val="22"/>
          <w14:ligatures w14:val="none"/>
        </w:rPr>
        <w:t xml:space="preserve"> Eq.&amp; Solids </w:t>
      </w:r>
      <w:proofErr w:type="spellStart"/>
      <w:r w:rsidRPr="00175565">
        <w:rPr>
          <w:rFonts w:ascii="Lora" w:eastAsia="Times New Roman" w:hAnsi="Lora" w:cs="Times New Roman"/>
          <w:color w:val="000000"/>
          <w:kern w:val="0"/>
          <w:sz w:val="22"/>
          <w:szCs w:val="22"/>
          <w14:ligatures w14:val="none"/>
        </w:rPr>
        <w:t>RemovalChitosan-BiocharPolishing</w:t>
      </w:r>
      <w:proofErr w:type="spellEnd"/>
      <w:r w:rsidRPr="00175565">
        <w:rPr>
          <w:rFonts w:ascii="Lora" w:eastAsia="Times New Roman" w:hAnsi="Lora" w:cs="Times New Roman"/>
          <w:color w:val="000000"/>
          <w:kern w:val="0"/>
          <w:sz w:val="22"/>
          <w:szCs w:val="22"/>
          <w14:ligatures w14:val="none"/>
        </w:rPr>
        <w:t xml:space="preserve"> </w:t>
      </w:r>
      <w:proofErr w:type="spellStart"/>
      <w:r w:rsidRPr="00175565">
        <w:rPr>
          <w:rFonts w:ascii="Lora" w:eastAsia="Times New Roman" w:hAnsi="Lora" w:cs="Times New Roman"/>
          <w:color w:val="000000"/>
          <w:kern w:val="0"/>
          <w:sz w:val="22"/>
          <w:szCs w:val="22"/>
          <w14:ligatures w14:val="none"/>
        </w:rPr>
        <w:t>VesselGAC</w:t>
      </w:r>
      <w:proofErr w:type="spellEnd"/>
      <w:r w:rsidRPr="00175565">
        <w:rPr>
          <w:rFonts w:ascii="Lora" w:eastAsia="Times New Roman" w:hAnsi="Lora" w:cs="Times New Roman"/>
          <w:color w:val="000000"/>
          <w:kern w:val="0"/>
          <w:sz w:val="22"/>
          <w:szCs w:val="22"/>
          <w14:ligatures w14:val="none"/>
        </w:rPr>
        <w:t xml:space="preserve"> / </w:t>
      </w:r>
      <w:proofErr w:type="spellStart"/>
      <w:r w:rsidRPr="00175565">
        <w:rPr>
          <w:rFonts w:ascii="Lora" w:eastAsia="Times New Roman" w:hAnsi="Lora" w:cs="Times New Roman"/>
          <w:color w:val="000000"/>
          <w:kern w:val="0"/>
          <w:sz w:val="22"/>
          <w:szCs w:val="22"/>
          <w14:ligatures w14:val="none"/>
        </w:rPr>
        <w:t>IXGuard</w:t>
      </w:r>
      <w:proofErr w:type="spellEnd"/>
      <w:r w:rsidRPr="00175565">
        <w:rPr>
          <w:rFonts w:ascii="Lora" w:eastAsia="Times New Roman" w:hAnsi="Lora" w:cs="Times New Roman"/>
          <w:color w:val="000000"/>
          <w:kern w:val="0"/>
          <w:sz w:val="22"/>
          <w:szCs w:val="22"/>
          <w14:ligatures w14:val="none"/>
        </w:rPr>
        <w:t xml:space="preserve"> </w:t>
      </w:r>
      <w:proofErr w:type="spellStart"/>
      <w:r w:rsidRPr="00175565">
        <w:rPr>
          <w:rFonts w:ascii="Lora" w:eastAsia="Times New Roman" w:hAnsi="Lora" w:cs="Times New Roman"/>
          <w:color w:val="000000"/>
          <w:kern w:val="0"/>
          <w:sz w:val="22"/>
          <w:szCs w:val="22"/>
          <w14:ligatures w14:val="none"/>
        </w:rPr>
        <w:t>BedCompliantDischargeExtracted</w:t>
      </w:r>
      <w:proofErr w:type="spellEnd"/>
      <w:r w:rsidRPr="00175565">
        <w:rPr>
          <w:rFonts w:ascii="Lora" w:eastAsia="Times New Roman" w:hAnsi="Lora" w:cs="Times New Roman"/>
          <w:color w:val="000000"/>
          <w:kern w:val="0"/>
          <w:sz w:val="22"/>
          <w:szCs w:val="22"/>
          <w14:ligatures w14:val="none"/>
        </w:rPr>
        <w:t xml:space="preserve"> Porewater &amp; Groundwater Routing</w:t>
      </w:r>
    </w:p>
    <w:p w14:paraId="01EA93D8" w14:textId="77777777" w:rsidR="00175565" w:rsidRPr="00175565" w:rsidRDefault="00175565" w:rsidP="00175565">
      <w:pPr>
        <w:spacing w:after="0" w:line="240" w:lineRule="auto"/>
        <w:jc w:val="both"/>
        <w:rPr>
          <w:rFonts w:ascii="Arial" w:eastAsia="Times New Roman" w:hAnsi="Arial" w:cs="Arial"/>
          <w:i/>
          <w:iCs/>
          <w:color w:val="000000"/>
          <w:kern w:val="0"/>
          <w:sz w:val="18"/>
          <w:szCs w:val="18"/>
          <w14:ligatures w14:val="none"/>
        </w:rPr>
      </w:pPr>
      <w:r w:rsidRPr="00175565">
        <w:rPr>
          <w:rFonts w:ascii="Arial" w:eastAsia="Times New Roman" w:hAnsi="Arial" w:cs="Arial"/>
          <w:i/>
          <w:iCs/>
          <w:color w:val="000000"/>
          <w:kern w:val="0"/>
          <w:sz w:val="18"/>
          <w:szCs w:val="18"/>
          <w14:ligatures w14:val="none"/>
        </w:rPr>
        <w:t>Figure 1. Remediation treatment-train architecture illustrating the integration of soil stabilization and water-polishing stages utilizing the chitosan-biochar platform alongside conventional methodologies.</w:t>
      </w:r>
    </w:p>
    <w:tbl>
      <w:tblPr>
        <w:tblW w:w="10800" w:type="dxa"/>
        <w:tblCellMar>
          <w:top w:w="15" w:type="dxa"/>
          <w:left w:w="15" w:type="dxa"/>
          <w:bottom w:w="15" w:type="dxa"/>
          <w:right w:w="15" w:type="dxa"/>
        </w:tblCellMar>
        <w:tblLook w:val="04A0" w:firstRow="1" w:lastRow="0" w:firstColumn="1" w:lastColumn="0" w:noHBand="0" w:noVBand="1"/>
      </w:tblPr>
      <w:tblGrid>
        <w:gridCol w:w="2794"/>
        <w:gridCol w:w="2935"/>
        <w:gridCol w:w="5071"/>
      </w:tblGrid>
      <w:tr w:rsidR="00175565" w:rsidRPr="00175565" w14:paraId="07A54F46" w14:textId="77777777">
        <w:trPr>
          <w:tblHeader/>
        </w:trPr>
        <w:tc>
          <w:tcPr>
            <w:tcW w:w="0" w:type="auto"/>
            <w:gridSpan w:val="3"/>
            <w:tcBorders>
              <w:top w:val="nil"/>
              <w:left w:val="nil"/>
              <w:bottom w:val="nil"/>
              <w:right w:val="nil"/>
            </w:tcBorders>
            <w:tcMar>
              <w:top w:w="120" w:type="dxa"/>
              <w:left w:w="150" w:type="dxa"/>
              <w:bottom w:w="120" w:type="dxa"/>
              <w:right w:w="150" w:type="dxa"/>
            </w:tcMar>
            <w:vAlign w:val="center"/>
            <w:hideMark/>
          </w:tcPr>
          <w:p w14:paraId="1F3677F9" w14:textId="77777777" w:rsidR="00175565" w:rsidRPr="00175565" w:rsidRDefault="00175565" w:rsidP="00175565">
            <w:pPr>
              <w:spacing w:before="300" w:after="300" w:line="240" w:lineRule="auto"/>
              <w:jc w:val="center"/>
              <w:rPr>
                <w:rFonts w:ascii="Lora" w:eastAsia="Times New Roman" w:hAnsi="Lora" w:cs="Times New Roman"/>
                <w:color w:val="000000"/>
                <w:kern w:val="0"/>
                <w:sz w:val="20"/>
                <w:szCs w:val="20"/>
                <w14:ligatures w14:val="none"/>
              </w:rPr>
            </w:pPr>
            <w:r w:rsidRPr="00175565">
              <w:rPr>
                <w:rFonts w:ascii="Lora" w:eastAsia="Times New Roman" w:hAnsi="Lora" w:cs="Times New Roman"/>
                <w:b/>
                <w:bCs/>
                <w:color w:val="000000"/>
                <w:kern w:val="0"/>
                <w:sz w:val="20"/>
                <w:szCs w:val="20"/>
                <w14:ligatures w14:val="none"/>
              </w:rPr>
              <w:lastRenderedPageBreak/>
              <w:t>Table 1. Comparison of Technology Roles within the Treatment Train</w:t>
            </w:r>
          </w:p>
        </w:tc>
      </w:tr>
      <w:tr w:rsidR="00175565" w:rsidRPr="00175565" w14:paraId="31702D40"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0F0F0"/>
            <w:tcMar>
              <w:top w:w="120" w:type="dxa"/>
              <w:left w:w="150" w:type="dxa"/>
              <w:bottom w:w="120" w:type="dxa"/>
              <w:right w:w="150" w:type="dxa"/>
            </w:tcMar>
            <w:hideMark/>
          </w:tcPr>
          <w:p w14:paraId="6BDEE34E" w14:textId="77777777" w:rsidR="00175565" w:rsidRPr="00175565" w:rsidRDefault="00175565" w:rsidP="00175565">
            <w:pPr>
              <w:spacing w:before="300" w:after="300" w:line="240" w:lineRule="auto"/>
              <w:rPr>
                <w:rFonts w:ascii="Arial" w:eastAsia="Times New Roman" w:hAnsi="Arial" w:cs="Arial"/>
                <w:b/>
                <w:bCs/>
                <w:color w:val="000000"/>
                <w:kern w:val="0"/>
                <w:sz w:val="20"/>
                <w:szCs w:val="20"/>
                <w14:ligatures w14:val="none"/>
              </w:rPr>
            </w:pPr>
            <w:r w:rsidRPr="00175565">
              <w:rPr>
                <w:rFonts w:ascii="Arial" w:eastAsia="Times New Roman" w:hAnsi="Arial" w:cs="Arial"/>
                <w:b/>
                <w:bCs/>
                <w:color w:val="000000"/>
                <w:kern w:val="0"/>
                <w:sz w:val="20"/>
                <w:szCs w:val="20"/>
                <w14:ligatures w14:val="none"/>
              </w:rPr>
              <w:t>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120" w:type="dxa"/>
              <w:left w:w="150" w:type="dxa"/>
              <w:bottom w:w="120" w:type="dxa"/>
              <w:right w:w="150" w:type="dxa"/>
            </w:tcMar>
            <w:hideMark/>
          </w:tcPr>
          <w:p w14:paraId="60C30DFC" w14:textId="77777777" w:rsidR="00175565" w:rsidRPr="00175565" w:rsidRDefault="00175565" w:rsidP="00175565">
            <w:pPr>
              <w:spacing w:before="300" w:after="300" w:line="240" w:lineRule="auto"/>
              <w:rPr>
                <w:rFonts w:ascii="Arial" w:eastAsia="Times New Roman" w:hAnsi="Arial" w:cs="Arial"/>
                <w:b/>
                <w:bCs/>
                <w:color w:val="000000"/>
                <w:kern w:val="0"/>
                <w:sz w:val="20"/>
                <w:szCs w:val="20"/>
                <w14:ligatures w14:val="none"/>
              </w:rPr>
            </w:pPr>
            <w:r w:rsidRPr="00175565">
              <w:rPr>
                <w:rFonts w:ascii="Arial" w:eastAsia="Times New Roman" w:hAnsi="Arial" w:cs="Arial"/>
                <w:b/>
                <w:bCs/>
                <w:color w:val="000000"/>
                <w:kern w:val="0"/>
                <w:sz w:val="20"/>
                <w:szCs w:val="20"/>
                <w14:ligatures w14:val="none"/>
              </w:rPr>
              <w:t>Primary Role</w:t>
            </w:r>
          </w:p>
        </w:tc>
        <w:tc>
          <w:tcPr>
            <w:tcW w:w="0" w:type="auto"/>
            <w:tcBorders>
              <w:top w:val="single" w:sz="6" w:space="0" w:color="000000"/>
              <w:left w:val="single" w:sz="6" w:space="0" w:color="000000"/>
              <w:bottom w:val="single" w:sz="6" w:space="0" w:color="000000"/>
              <w:right w:val="single" w:sz="6" w:space="0" w:color="000000"/>
            </w:tcBorders>
            <w:shd w:val="clear" w:color="auto" w:fill="F0F0F0"/>
            <w:tcMar>
              <w:top w:w="120" w:type="dxa"/>
              <w:left w:w="150" w:type="dxa"/>
              <w:bottom w:w="120" w:type="dxa"/>
              <w:right w:w="150" w:type="dxa"/>
            </w:tcMar>
            <w:hideMark/>
          </w:tcPr>
          <w:p w14:paraId="35FC770E" w14:textId="77777777" w:rsidR="00175565" w:rsidRPr="00175565" w:rsidRDefault="00175565" w:rsidP="00175565">
            <w:pPr>
              <w:spacing w:before="300" w:after="300" w:line="240" w:lineRule="auto"/>
              <w:rPr>
                <w:rFonts w:ascii="Arial" w:eastAsia="Times New Roman" w:hAnsi="Arial" w:cs="Arial"/>
                <w:b/>
                <w:bCs/>
                <w:color w:val="000000"/>
                <w:kern w:val="0"/>
                <w:sz w:val="20"/>
                <w:szCs w:val="20"/>
                <w14:ligatures w14:val="none"/>
              </w:rPr>
            </w:pPr>
            <w:r w:rsidRPr="00175565">
              <w:rPr>
                <w:rFonts w:ascii="Arial" w:eastAsia="Times New Roman" w:hAnsi="Arial" w:cs="Arial"/>
                <w:b/>
                <w:bCs/>
                <w:color w:val="000000"/>
                <w:kern w:val="0"/>
                <w:sz w:val="20"/>
                <w:szCs w:val="20"/>
                <w14:ligatures w14:val="none"/>
              </w:rPr>
              <w:t>PFAS Action</w:t>
            </w:r>
          </w:p>
        </w:tc>
      </w:tr>
      <w:tr w:rsidR="00175565" w:rsidRPr="00175565" w14:paraId="4FDC95F0" w14:textId="77777777">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3784CFEF"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b/>
                <w:bCs/>
                <w:color w:val="000000"/>
                <w:kern w:val="0"/>
                <w:sz w:val="20"/>
                <w:szCs w:val="20"/>
                <w14:ligatures w14:val="none"/>
              </w:rPr>
              <w:t>Excavation</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7D29DBF0"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Source Zone Hotspot Removal</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49E77767"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Physical removal of gross mass; off-site destruction/landfill.</w:t>
            </w:r>
          </w:p>
        </w:tc>
      </w:tr>
      <w:tr w:rsidR="00175565" w:rsidRPr="00175565" w14:paraId="021961AB" w14:textId="77777777">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5C710B20"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b/>
                <w:bCs/>
                <w:color w:val="000000"/>
                <w:kern w:val="0"/>
                <w:sz w:val="20"/>
                <w:szCs w:val="20"/>
                <w14:ligatures w14:val="none"/>
              </w:rPr>
              <w:t>Capping / Containment</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77C4BCE3"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Hydraulic Isolation</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518F50BE"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Prevents infiltration; limits leachate generation.</w:t>
            </w:r>
          </w:p>
        </w:tc>
      </w:tr>
      <w:tr w:rsidR="00175565" w:rsidRPr="00175565" w14:paraId="2959F285" w14:textId="77777777">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22C48C07"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b/>
                <w:bCs/>
                <w:color w:val="000000"/>
                <w:kern w:val="0"/>
                <w:sz w:val="20"/>
                <w:szCs w:val="20"/>
                <w14:ligatures w14:val="none"/>
              </w:rPr>
              <w:t>Chitosan-Biochar Amendment</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693CB725"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Vadose / Saturated Zone Stabilization</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594AE5AD"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In-situ immobilization reducing mass flux; binds long &amp; short chains.</w:t>
            </w:r>
          </w:p>
        </w:tc>
      </w:tr>
      <w:tr w:rsidR="00175565" w:rsidRPr="00175565" w14:paraId="1A1548ED" w14:textId="77777777">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7AB99588"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b/>
                <w:bCs/>
                <w:color w:val="000000"/>
                <w:kern w:val="0"/>
                <w:sz w:val="20"/>
                <w:szCs w:val="20"/>
                <w14:ligatures w14:val="none"/>
              </w:rPr>
              <w:t>Hydraulic Control (P&amp;T)</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3CAA6B9B"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Plume Management</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70EEF40B"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Extracts mobile mass; captures escaping flux.</w:t>
            </w:r>
          </w:p>
        </w:tc>
      </w:tr>
      <w:tr w:rsidR="00175565" w:rsidRPr="00175565" w14:paraId="3A5ABA78" w14:textId="77777777">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3D9B7A8C"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b/>
                <w:bCs/>
                <w:color w:val="000000"/>
                <w:kern w:val="0"/>
                <w:sz w:val="20"/>
                <w:szCs w:val="20"/>
                <w14:ligatures w14:val="none"/>
              </w:rPr>
              <w:t>Primary Treatment (e.g., RO/Foam)</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10B92D85"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Bulk Liquid Treatment</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2B1406EF"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Separates/concentrates high-level aqueous PFAS.</w:t>
            </w:r>
          </w:p>
        </w:tc>
      </w:tr>
      <w:tr w:rsidR="00175565" w:rsidRPr="00175565" w14:paraId="3CB88DC8" w14:textId="77777777">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45B0578C"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b/>
                <w:bCs/>
                <w:color w:val="000000"/>
                <w:kern w:val="0"/>
                <w:sz w:val="20"/>
                <w:szCs w:val="20"/>
                <w14:ligatures w14:val="none"/>
              </w:rPr>
              <w:t>Chitosan-Biochar Polishing</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191B7A6A"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Pre-Treatment / Polishing</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4E340534"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Mitigates organic fouling; removes residual low-level PFAS.</w:t>
            </w:r>
          </w:p>
        </w:tc>
      </w:tr>
      <w:tr w:rsidR="00175565" w:rsidRPr="00175565" w14:paraId="56D8B6E3" w14:textId="77777777">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0F240F18"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b/>
                <w:bCs/>
                <w:color w:val="000000"/>
                <w:kern w:val="0"/>
                <w:sz w:val="20"/>
                <w:szCs w:val="20"/>
                <w14:ligatures w14:val="none"/>
              </w:rPr>
              <w:t>GAC / IX Guard Bed</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7563D299"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Point of Compliance</w:t>
            </w:r>
          </w:p>
        </w:tc>
        <w:tc>
          <w:tcPr>
            <w:tcW w:w="0" w:type="auto"/>
            <w:tcBorders>
              <w:top w:val="single" w:sz="6" w:space="0" w:color="000000"/>
              <w:left w:val="single" w:sz="6" w:space="0" w:color="000000"/>
              <w:bottom w:val="single" w:sz="6" w:space="0" w:color="000000"/>
              <w:right w:val="single" w:sz="6" w:space="0" w:color="000000"/>
            </w:tcBorders>
            <w:tcMar>
              <w:top w:w="120" w:type="dxa"/>
              <w:left w:w="150" w:type="dxa"/>
              <w:bottom w:w="120" w:type="dxa"/>
              <w:right w:w="150" w:type="dxa"/>
            </w:tcMar>
            <w:hideMark/>
          </w:tcPr>
          <w:p w14:paraId="11933158" w14:textId="77777777" w:rsidR="00175565" w:rsidRPr="00175565" w:rsidRDefault="00175565" w:rsidP="00175565">
            <w:pPr>
              <w:spacing w:before="300" w:after="300" w:line="240" w:lineRule="auto"/>
              <w:rPr>
                <w:rFonts w:ascii="Lora" w:eastAsia="Times New Roman" w:hAnsi="Lora" w:cs="Times New Roman"/>
                <w:color w:val="000000"/>
                <w:kern w:val="0"/>
                <w:sz w:val="20"/>
                <w:szCs w:val="20"/>
                <w14:ligatures w14:val="none"/>
              </w:rPr>
            </w:pPr>
            <w:r w:rsidRPr="00175565">
              <w:rPr>
                <w:rFonts w:ascii="Lora" w:eastAsia="Times New Roman" w:hAnsi="Lora" w:cs="Times New Roman"/>
                <w:color w:val="000000"/>
                <w:kern w:val="0"/>
                <w:sz w:val="20"/>
                <w:szCs w:val="20"/>
                <w14:ligatures w14:val="none"/>
              </w:rPr>
              <w:t>Final effluent polishing to strict non-detect regulatory standards.</w:t>
            </w:r>
          </w:p>
        </w:tc>
      </w:tr>
    </w:tbl>
    <w:p w14:paraId="6B9637F9" w14:textId="77777777" w:rsid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p>
    <w:p w14:paraId="52ED0BF7" w14:textId="5BF89C6F"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lastRenderedPageBreak/>
        <w:t>6. Ideal Step-by-Step Protocol for PFAS-Impacted Soil and Associated Water</w:t>
      </w:r>
    </w:p>
    <w:p w14:paraId="6AF0D2FA"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The following protocol addresses both contaminated soils and the associated contact/extracted water.</w:t>
      </w:r>
    </w:p>
    <w:p w14:paraId="33DAAF44" w14:textId="77777777" w:rsidR="00175565" w:rsidRPr="00175565" w:rsidRDefault="00175565" w:rsidP="00175565">
      <w:pPr>
        <w:spacing w:before="360" w:after="120" w:line="240" w:lineRule="auto"/>
        <w:outlineLvl w:val="2"/>
        <w:rPr>
          <w:rFonts w:ascii="Arial" w:eastAsia="Times New Roman" w:hAnsi="Arial" w:cs="Arial"/>
          <w:b/>
          <w:bCs/>
          <w:color w:val="000000"/>
          <w:kern w:val="0"/>
          <w:sz w:val="29"/>
          <w:szCs w:val="29"/>
          <w14:ligatures w14:val="none"/>
        </w:rPr>
      </w:pPr>
      <w:r w:rsidRPr="00175565">
        <w:rPr>
          <w:rFonts w:ascii="Arial" w:eastAsia="Times New Roman" w:hAnsi="Arial" w:cs="Arial"/>
          <w:b/>
          <w:bCs/>
          <w:color w:val="000000"/>
          <w:kern w:val="0"/>
          <w:sz w:val="29"/>
          <w:szCs w:val="29"/>
          <w14:ligatures w14:val="none"/>
        </w:rPr>
        <w:t>6.1. Soil Matrix Protocol</w:t>
      </w:r>
    </w:p>
    <w:p w14:paraId="678293A6" w14:textId="77777777" w:rsidR="00175565" w:rsidRPr="00175565" w:rsidRDefault="00175565" w:rsidP="00175565">
      <w:pPr>
        <w:numPr>
          <w:ilvl w:val="0"/>
          <w:numId w:val="4"/>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Site Preparation &amp; Delineation:</w:t>
      </w:r>
      <w:r w:rsidRPr="00175565">
        <w:rPr>
          <w:rFonts w:ascii="Lora" w:eastAsia="Times New Roman" w:hAnsi="Lora" w:cs="Times New Roman"/>
          <w:color w:val="000000"/>
          <w:kern w:val="0"/>
          <w:sz w:val="22"/>
          <w:szCs w:val="22"/>
          <w14:ligatures w14:val="none"/>
        </w:rPr>
        <w:t xml:space="preserve"> Conduct high-resolution site characterization to define </w:t>
      </w:r>
      <w:proofErr w:type="gramStart"/>
      <w:r w:rsidRPr="00175565">
        <w:rPr>
          <w:rFonts w:ascii="Lora" w:eastAsia="Times New Roman" w:hAnsi="Lora" w:cs="Times New Roman"/>
          <w:color w:val="000000"/>
          <w:kern w:val="0"/>
          <w:sz w:val="22"/>
          <w:szCs w:val="22"/>
          <w14:ligatures w14:val="none"/>
        </w:rPr>
        <w:t>the plume</w:t>
      </w:r>
      <w:proofErr w:type="gramEnd"/>
      <w:r w:rsidRPr="00175565">
        <w:rPr>
          <w:rFonts w:ascii="Lora" w:eastAsia="Times New Roman" w:hAnsi="Lora" w:cs="Times New Roman"/>
          <w:color w:val="000000"/>
          <w:kern w:val="0"/>
          <w:sz w:val="22"/>
          <w:szCs w:val="22"/>
          <w14:ligatures w14:val="none"/>
        </w:rPr>
        <w:t xml:space="preserve"> architecture. Segregate soils based on decision logic: concentrations exceeding maximum threshold criteria are designated for physical excavation and thermal destruction; intermediate concentrations are designated for in-place amendment.</w:t>
      </w:r>
    </w:p>
    <w:p w14:paraId="1767403E" w14:textId="77777777" w:rsidR="00175565" w:rsidRPr="00175565" w:rsidRDefault="00175565" w:rsidP="00175565">
      <w:pPr>
        <w:numPr>
          <w:ilvl w:val="0"/>
          <w:numId w:val="4"/>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Amendment Blending Sequence:</w:t>
      </w:r>
      <w:r w:rsidRPr="00175565">
        <w:rPr>
          <w:rFonts w:ascii="Lora" w:eastAsia="Times New Roman" w:hAnsi="Lora" w:cs="Times New Roman"/>
          <w:color w:val="000000"/>
          <w:kern w:val="0"/>
          <w:sz w:val="22"/>
          <w:szCs w:val="22"/>
          <w14:ligatures w14:val="none"/>
        </w:rPr>
        <w:t> Stage the engineered biochar. Using controlled spray application, hydrate the biochar with a specifically titrated solution of COS-HCl (adjusted to the site's optimum moisture demand). Ensure intimate interfacial contact between the soluble chitosan and the carbon matrix.</w:t>
      </w:r>
    </w:p>
    <w:p w14:paraId="6F184471" w14:textId="77777777" w:rsidR="00175565" w:rsidRPr="00175565" w:rsidRDefault="00175565" w:rsidP="00175565">
      <w:pPr>
        <w:numPr>
          <w:ilvl w:val="0"/>
          <w:numId w:val="4"/>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Mixing &amp; Placement:</w:t>
      </w:r>
      <w:r w:rsidRPr="00175565">
        <w:rPr>
          <w:rFonts w:ascii="Lora" w:eastAsia="Times New Roman" w:hAnsi="Lora" w:cs="Times New Roman"/>
          <w:color w:val="000000"/>
          <w:kern w:val="0"/>
          <w:sz w:val="22"/>
          <w:szCs w:val="22"/>
          <w14:ligatures w14:val="none"/>
        </w:rPr>
        <w:t> Employ rotary mixers, pug mills, or large-scale excavators to blend the chitosan-biochar composite into the targeted soil in controlled lift thicknesses (e.g., 1 to 2 feet).</w:t>
      </w:r>
    </w:p>
    <w:p w14:paraId="11068C8E" w14:textId="77777777" w:rsidR="00175565" w:rsidRPr="00175565" w:rsidRDefault="00175565" w:rsidP="00175565">
      <w:pPr>
        <w:numPr>
          <w:ilvl w:val="0"/>
          <w:numId w:val="4"/>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Curing &amp; Containment:</w:t>
      </w:r>
      <w:r w:rsidRPr="00175565">
        <w:rPr>
          <w:rFonts w:ascii="Lora" w:eastAsia="Times New Roman" w:hAnsi="Lora" w:cs="Times New Roman"/>
          <w:color w:val="000000"/>
          <w:kern w:val="0"/>
          <w:sz w:val="22"/>
          <w:szCs w:val="22"/>
          <w14:ligatures w14:val="none"/>
        </w:rPr>
        <w:t> Allow the amended soil to undergo a curing/contact period. Apply temporary erosion control and surface capping to manage stormwater infiltration.</w:t>
      </w:r>
    </w:p>
    <w:p w14:paraId="434ACD79" w14:textId="77777777" w:rsidR="00175565" w:rsidRPr="00175565" w:rsidRDefault="00175565" w:rsidP="00175565">
      <w:pPr>
        <w:spacing w:after="0" w:line="240" w:lineRule="auto"/>
        <w:jc w:val="center"/>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Staging &amp;</w:t>
      </w:r>
      <w:proofErr w:type="spellStart"/>
      <w:r w:rsidRPr="00175565">
        <w:rPr>
          <w:rFonts w:ascii="Lora" w:eastAsia="Times New Roman" w:hAnsi="Lora" w:cs="Times New Roman"/>
          <w:color w:val="000000"/>
          <w:kern w:val="0"/>
          <w:sz w:val="22"/>
          <w:szCs w:val="22"/>
          <w14:ligatures w14:val="none"/>
        </w:rPr>
        <w:t>ScreeningDry</w:t>
      </w:r>
      <w:proofErr w:type="spellEnd"/>
      <w:r w:rsidRPr="00175565">
        <w:rPr>
          <w:rFonts w:ascii="Lora" w:eastAsia="Times New Roman" w:hAnsi="Lora" w:cs="Times New Roman"/>
          <w:color w:val="000000"/>
          <w:kern w:val="0"/>
          <w:sz w:val="22"/>
          <w:szCs w:val="22"/>
          <w14:ligatures w14:val="none"/>
        </w:rPr>
        <w:t xml:space="preserve"> </w:t>
      </w:r>
      <w:proofErr w:type="spellStart"/>
      <w:r w:rsidRPr="00175565">
        <w:rPr>
          <w:rFonts w:ascii="Lora" w:eastAsia="Times New Roman" w:hAnsi="Lora" w:cs="Times New Roman"/>
          <w:color w:val="000000"/>
          <w:kern w:val="0"/>
          <w:sz w:val="22"/>
          <w:szCs w:val="22"/>
          <w14:ligatures w14:val="none"/>
        </w:rPr>
        <w:t>BiocharPlacementCOS-HClSolution</w:t>
      </w:r>
      <w:proofErr w:type="spellEnd"/>
      <w:r w:rsidRPr="00175565">
        <w:rPr>
          <w:rFonts w:ascii="Lora" w:eastAsia="Times New Roman" w:hAnsi="Lora" w:cs="Times New Roman"/>
          <w:color w:val="000000"/>
          <w:kern w:val="0"/>
          <w:sz w:val="22"/>
          <w:szCs w:val="22"/>
          <w14:ligatures w14:val="none"/>
        </w:rPr>
        <w:t xml:space="preserve"> </w:t>
      </w:r>
      <w:proofErr w:type="spellStart"/>
      <w:r w:rsidRPr="00175565">
        <w:rPr>
          <w:rFonts w:ascii="Lora" w:eastAsia="Times New Roman" w:hAnsi="Lora" w:cs="Times New Roman"/>
          <w:color w:val="000000"/>
          <w:kern w:val="0"/>
          <w:sz w:val="22"/>
          <w:szCs w:val="22"/>
          <w14:ligatures w14:val="none"/>
        </w:rPr>
        <w:t>SprayMechanicalMixingLift</w:t>
      </w:r>
      <w:proofErr w:type="spellEnd"/>
      <w:r w:rsidRPr="00175565">
        <w:rPr>
          <w:rFonts w:ascii="Lora" w:eastAsia="Times New Roman" w:hAnsi="Lora" w:cs="Times New Roman"/>
          <w:color w:val="000000"/>
          <w:kern w:val="0"/>
          <w:sz w:val="22"/>
          <w:szCs w:val="22"/>
          <w14:ligatures w14:val="none"/>
        </w:rPr>
        <w:t xml:space="preserve"> Placement&amp; </w:t>
      </w:r>
      <w:proofErr w:type="spellStart"/>
      <w:r w:rsidRPr="00175565">
        <w:rPr>
          <w:rFonts w:ascii="Lora" w:eastAsia="Times New Roman" w:hAnsi="Lora" w:cs="Times New Roman"/>
          <w:color w:val="000000"/>
          <w:kern w:val="0"/>
          <w:sz w:val="22"/>
          <w:szCs w:val="22"/>
          <w14:ligatures w14:val="none"/>
        </w:rPr>
        <w:t>CompactionVerificationSPLP</w:t>
      </w:r>
      <w:proofErr w:type="spellEnd"/>
      <w:r w:rsidRPr="00175565">
        <w:rPr>
          <w:rFonts w:ascii="Lora" w:eastAsia="Times New Roman" w:hAnsi="Lora" w:cs="Times New Roman"/>
          <w:color w:val="000000"/>
          <w:kern w:val="0"/>
          <w:sz w:val="22"/>
          <w:szCs w:val="22"/>
          <w14:ligatures w14:val="none"/>
        </w:rPr>
        <w:t xml:space="preserve"> Sampling</w:t>
      </w:r>
    </w:p>
    <w:p w14:paraId="27B9630A" w14:textId="77777777" w:rsidR="00175565" w:rsidRPr="00175565" w:rsidRDefault="00175565" w:rsidP="00175565">
      <w:pPr>
        <w:spacing w:after="0" w:line="240" w:lineRule="auto"/>
        <w:jc w:val="both"/>
        <w:rPr>
          <w:rFonts w:ascii="Arial" w:eastAsia="Times New Roman" w:hAnsi="Arial" w:cs="Arial"/>
          <w:i/>
          <w:iCs/>
          <w:color w:val="000000"/>
          <w:kern w:val="0"/>
          <w:sz w:val="18"/>
          <w:szCs w:val="18"/>
          <w14:ligatures w14:val="none"/>
        </w:rPr>
      </w:pPr>
      <w:r w:rsidRPr="00175565">
        <w:rPr>
          <w:rFonts w:ascii="Arial" w:eastAsia="Times New Roman" w:hAnsi="Arial" w:cs="Arial"/>
          <w:i/>
          <w:iCs/>
          <w:color w:val="000000"/>
          <w:kern w:val="0"/>
          <w:sz w:val="18"/>
          <w:szCs w:val="18"/>
          <w14:ligatures w14:val="none"/>
        </w:rPr>
        <w:t>Figure 2. Soil amendment application workflow demonstrating the integration sequence of biochar and soluble COS-HCl.</w:t>
      </w:r>
    </w:p>
    <w:p w14:paraId="0E19466F" w14:textId="77777777" w:rsidR="00175565" w:rsidRPr="00175565" w:rsidRDefault="00175565" w:rsidP="00175565">
      <w:pPr>
        <w:spacing w:before="360" w:after="120" w:line="240" w:lineRule="auto"/>
        <w:outlineLvl w:val="2"/>
        <w:rPr>
          <w:rFonts w:ascii="Arial" w:eastAsia="Times New Roman" w:hAnsi="Arial" w:cs="Arial"/>
          <w:b/>
          <w:bCs/>
          <w:color w:val="000000"/>
          <w:kern w:val="0"/>
          <w:sz w:val="29"/>
          <w:szCs w:val="29"/>
          <w14:ligatures w14:val="none"/>
        </w:rPr>
      </w:pPr>
      <w:r w:rsidRPr="00175565">
        <w:rPr>
          <w:rFonts w:ascii="Arial" w:eastAsia="Times New Roman" w:hAnsi="Arial" w:cs="Arial"/>
          <w:b/>
          <w:bCs/>
          <w:color w:val="000000"/>
          <w:kern w:val="0"/>
          <w:sz w:val="29"/>
          <w:szCs w:val="29"/>
          <w14:ligatures w14:val="none"/>
        </w:rPr>
        <w:t>6.2. Water Matrix Protocol (Porewater / Groundwater / Stormwater)</w:t>
      </w:r>
    </w:p>
    <w:p w14:paraId="7AAFD4F5" w14:textId="77777777" w:rsidR="00175565" w:rsidRPr="00175565" w:rsidRDefault="00175565" w:rsidP="00175565">
      <w:pPr>
        <w:numPr>
          <w:ilvl w:val="0"/>
          <w:numId w:val="5"/>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Extraction &amp; Equalization:</w:t>
      </w:r>
      <w:r w:rsidRPr="00175565">
        <w:rPr>
          <w:rFonts w:ascii="Lora" w:eastAsia="Times New Roman" w:hAnsi="Lora" w:cs="Times New Roman"/>
          <w:color w:val="000000"/>
          <w:kern w:val="0"/>
          <w:sz w:val="22"/>
          <w:szCs w:val="22"/>
          <w14:ligatures w14:val="none"/>
        </w:rPr>
        <w:t> Route dewatering liquids, captured groundwater, and contact stormwater to an equalization tank.</w:t>
      </w:r>
    </w:p>
    <w:p w14:paraId="4689A387" w14:textId="77777777" w:rsidR="00175565" w:rsidRPr="00175565" w:rsidRDefault="00175565" w:rsidP="00175565">
      <w:pPr>
        <w:numPr>
          <w:ilvl w:val="0"/>
          <w:numId w:val="5"/>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Solids Removal:</w:t>
      </w:r>
      <w:r w:rsidRPr="00175565">
        <w:rPr>
          <w:rFonts w:ascii="Lora" w:eastAsia="Times New Roman" w:hAnsi="Lora" w:cs="Times New Roman"/>
          <w:color w:val="000000"/>
          <w:kern w:val="0"/>
          <w:sz w:val="22"/>
          <w:szCs w:val="22"/>
          <w14:ligatures w14:val="none"/>
        </w:rPr>
        <w:t> Pass liquid through bag filters or sand media to remove bulk suspended solids.</w:t>
      </w:r>
    </w:p>
    <w:p w14:paraId="29535ADF" w14:textId="77777777" w:rsidR="00175565" w:rsidRPr="00175565" w:rsidRDefault="00175565" w:rsidP="00175565">
      <w:pPr>
        <w:numPr>
          <w:ilvl w:val="0"/>
          <w:numId w:val="5"/>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Primary PFAS Removal:</w:t>
      </w:r>
      <w:r w:rsidRPr="00175565">
        <w:rPr>
          <w:rFonts w:ascii="Lora" w:eastAsia="Times New Roman" w:hAnsi="Lora" w:cs="Times New Roman"/>
          <w:color w:val="000000"/>
          <w:kern w:val="0"/>
          <w:sz w:val="22"/>
          <w:szCs w:val="22"/>
          <w14:ligatures w14:val="none"/>
        </w:rPr>
        <w:t> Depending on the influent concentrations, utilize foam fractionation or equivalent bulk separation.</w:t>
      </w:r>
    </w:p>
    <w:p w14:paraId="7DD1D4E8" w14:textId="77777777" w:rsidR="00175565" w:rsidRPr="00175565" w:rsidRDefault="00175565" w:rsidP="00175565">
      <w:pPr>
        <w:numPr>
          <w:ilvl w:val="0"/>
          <w:numId w:val="5"/>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Chitosan-Biochar Polishing:</w:t>
      </w:r>
      <w:r w:rsidRPr="00175565">
        <w:rPr>
          <w:rFonts w:ascii="Lora" w:eastAsia="Times New Roman" w:hAnsi="Lora" w:cs="Times New Roman"/>
          <w:color w:val="000000"/>
          <w:kern w:val="0"/>
          <w:sz w:val="22"/>
          <w:szCs w:val="22"/>
          <w14:ligatures w14:val="none"/>
        </w:rPr>
        <w:t> Route the effluent through a contactor vessel loaded with a stabilized chitosan-biochar granular composite. This step acts as an organic scavenger and targets recalcitrant short-chain PFAS.</w:t>
      </w:r>
    </w:p>
    <w:p w14:paraId="75E1B573" w14:textId="77777777" w:rsidR="00175565" w:rsidRPr="00175565" w:rsidRDefault="00175565" w:rsidP="00175565">
      <w:pPr>
        <w:numPr>
          <w:ilvl w:val="0"/>
          <w:numId w:val="5"/>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Final Guard Bed:</w:t>
      </w:r>
      <w:r w:rsidRPr="00175565">
        <w:rPr>
          <w:rFonts w:ascii="Lora" w:eastAsia="Times New Roman" w:hAnsi="Lora" w:cs="Times New Roman"/>
          <w:color w:val="000000"/>
          <w:kern w:val="0"/>
          <w:sz w:val="22"/>
          <w:szCs w:val="22"/>
          <w14:ligatures w14:val="none"/>
        </w:rPr>
        <w:t> Pass the polished water through a standard GAC or IX system to ensure absolute regulatory compliance prior to discharge or reinjection.</w:t>
      </w:r>
    </w:p>
    <w:p w14:paraId="6EFAEFA4" w14:textId="77777777"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lastRenderedPageBreak/>
        <w:t>7. Design Basis and Preliminary Application Rates</w:t>
      </w:r>
    </w:p>
    <w:p w14:paraId="2BC851F4"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The values presented below are conservative, proposal-ready ranges intended to serve strictly as </w:t>
      </w:r>
      <w:r w:rsidRPr="00175565">
        <w:rPr>
          <w:rFonts w:ascii="Lora" w:eastAsia="Times New Roman" w:hAnsi="Lora" w:cs="Times New Roman"/>
          <w:i/>
          <w:iCs/>
          <w:color w:val="000000"/>
          <w:kern w:val="0"/>
          <w:sz w:val="22"/>
          <w:szCs w:val="22"/>
          <w14:ligatures w14:val="none"/>
        </w:rPr>
        <w:t>pilot-scale starting points</w:t>
      </w:r>
      <w:r w:rsidRPr="00175565">
        <w:rPr>
          <w:rFonts w:ascii="Lora" w:eastAsia="Times New Roman" w:hAnsi="Lora" w:cs="Times New Roman"/>
          <w:color w:val="000000"/>
          <w:kern w:val="0"/>
          <w:sz w:val="22"/>
          <w:szCs w:val="22"/>
          <w14:ligatures w14:val="none"/>
        </w:rPr>
        <w:t>. They must be empirically refined via site-specific treatability testing.</w:t>
      </w:r>
    </w:p>
    <w:p w14:paraId="3EFCBC5B" w14:textId="77777777" w:rsidR="00175565" w:rsidRPr="00175565" w:rsidRDefault="00175565" w:rsidP="00175565">
      <w:pPr>
        <w:numPr>
          <w:ilvl w:val="0"/>
          <w:numId w:val="6"/>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Soil Amendment Blend:</w:t>
      </w:r>
      <w:r w:rsidRPr="00175565">
        <w:rPr>
          <w:rFonts w:ascii="Lora" w:eastAsia="Times New Roman" w:hAnsi="Lora" w:cs="Times New Roman"/>
          <w:color w:val="000000"/>
          <w:kern w:val="0"/>
          <w:sz w:val="22"/>
          <w:szCs w:val="22"/>
          <w14:ligatures w14:val="none"/>
        </w:rPr>
        <w:t> Engineered biochar applied at 2% to 5% dry weight of treated soil.</w:t>
      </w:r>
    </w:p>
    <w:p w14:paraId="00D2CA2D" w14:textId="77777777" w:rsidR="00175565" w:rsidRPr="00175565" w:rsidRDefault="00175565" w:rsidP="00175565">
      <w:pPr>
        <w:numPr>
          <w:ilvl w:val="0"/>
          <w:numId w:val="6"/>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COS-HCl Loading:</w:t>
      </w:r>
      <w:r w:rsidRPr="00175565">
        <w:rPr>
          <w:rFonts w:ascii="Lora" w:eastAsia="Times New Roman" w:hAnsi="Lora" w:cs="Times New Roman"/>
          <w:color w:val="000000"/>
          <w:kern w:val="0"/>
          <w:sz w:val="22"/>
          <w:szCs w:val="22"/>
          <w14:ligatures w14:val="none"/>
        </w:rPr>
        <w:t> Chitosan oligosaccharide-hydrochloride applied at 0.1% to 0.5% dry weight of treated soil. Equivalently, the chitosan solids should represent roughly 1 part to 10–20 parts biochar by dry mass. Solution addition must be adjusted dynamically to the soil's optimum moisture demand.</w:t>
      </w:r>
    </w:p>
    <w:p w14:paraId="31A2CF07" w14:textId="77777777" w:rsidR="00175565" w:rsidRPr="00175565" w:rsidRDefault="00175565" w:rsidP="00175565">
      <w:pPr>
        <w:numPr>
          <w:ilvl w:val="0"/>
          <w:numId w:val="6"/>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Water Polishing (Empty Bed Contact Time - EBCT):</w:t>
      </w:r>
      <w:r w:rsidRPr="00175565">
        <w:rPr>
          <w:rFonts w:ascii="Lora" w:eastAsia="Times New Roman" w:hAnsi="Lora" w:cs="Times New Roman"/>
          <w:color w:val="000000"/>
          <w:kern w:val="0"/>
          <w:sz w:val="22"/>
          <w:szCs w:val="22"/>
          <w14:ligatures w14:val="none"/>
        </w:rPr>
        <w:t> For the chitosan-biochar contactor acting as a polishing step, an EBCT target range of 10 to 30 minutes is recommended for pilot testing.</w:t>
      </w:r>
    </w:p>
    <w:p w14:paraId="4DED1F9A" w14:textId="77777777"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t>8. Monitoring, QA/QC, and Decision Criteria</w:t>
      </w:r>
    </w:p>
    <w:p w14:paraId="1CE2370B"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Robust post-treatment verification criteria must be instituted to validate the immobilization platform:</w:t>
      </w:r>
    </w:p>
    <w:p w14:paraId="2D6665EE" w14:textId="77777777" w:rsidR="00175565" w:rsidRPr="00175565" w:rsidRDefault="00175565" w:rsidP="00175565">
      <w:pPr>
        <w:numPr>
          <w:ilvl w:val="0"/>
          <w:numId w:val="7"/>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Leachability Testing:</w:t>
      </w:r>
      <w:r w:rsidRPr="00175565">
        <w:rPr>
          <w:rFonts w:ascii="Lora" w:eastAsia="Times New Roman" w:hAnsi="Lora" w:cs="Times New Roman"/>
          <w:color w:val="000000"/>
          <w:kern w:val="0"/>
          <w:sz w:val="22"/>
          <w:szCs w:val="22"/>
          <w14:ligatures w14:val="none"/>
        </w:rPr>
        <w:t> Conduct Synthetic Precipitation Leaching Procedure (SPLP) or site-appropriate leach tests (e.g., LEAF methodology) to verify the reduction of mobile PFAS fractions in amended soils.</w:t>
      </w:r>
    </w:p>
    <w:p w14:paraId="4C61397F" w14:textId="77777777" w:rsidR="00175565" w:rsidRPr="00175565" w:rsidRDefault="00175565" w:rsidP="00175565">
      <w:pPr>
        <w:numPr>
          <w:ilvl w:val="0"/>
          <w:numId w:val="7"/>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Total PFAS vs. Target Analytes:</w:t>
      </w:r>
      <w:r w:rsidRPr="00175565">
        <w:rPr>
          <w:rFonts w:ascii="Lora" w:eastAsia="Times New Roman" w:hAnsi="Lora" w:cs="Times New Roman"/>
          <w:color w:val="000000"/>
          <w:kern w:val="0"/>
          <w:sz w:val="22"/>
          <w:szCs w:val="22"/>
          <w14:ligatures w14:val="none"/>
        </w:rPr>
        <w:t xml:space="preserve"> Monitor specific regulatory target analytes (PFOS, PFOA, </w:t>
      </w:r>
      <w:proofErr w:type="spellStart"/>
      <w:r w:rsidRPr="00175565">
        <w:rPr>
          <w:rFonts w:ascii="Lora" w:eastAsia="Times New Roman" w:hAnsi="Lora" w:cs="Times New Roman"/>
          <w:color w:val="000000"/>
          <w:kern w:val="0"/>
          <w:sz w:val="22"/>
          <w:szCs w:val="22"/>
          <w14:ligatures w14:val="none"/>
        </w:rPr>
        <w:t>PFHxS</w:t>
      </w:r>
      <w:proofErr w:type="spellEnd"/>
      <w:r w:rsidRPr="00175565">
        <w:rPr>
          <w:rFonts w:ascii="Lora" w:eastAsia="Times New Roman" w:hAnsi="Lora" w:cs="Times New Roman"/>
          <w:color w:val="000000"/>
          <w:kern w:val="0"/>
          <w:sz w:val="22"/>
          <w:szCs w:val="22"/>
          <w14:ligatures w14:val="none"/>
        </w:rPr>
        <w:t>) while utilizing total oxidizable precursor (TOP) assays to ensure precursors are immobilized.</w:t>
      </w:r>
    </w:p>
    <w:p w14:paraId="48E79567" w14:textId="77777777" w:rsidR="00175565" w:rsidRPr="00175565" w:rsidRDefault="00175565" w:rsidP="00175565">
      <w:pPr>
        <w:numPr>
          <w:ilvl w:val="0"/>
          <w:numId w:val="7"/>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Groundwater Trends:</w:t>
      </w:r>
      <w:r w:rsidRPr="00175565">
        <w:rPr>
          <w:rFonts w:ascii="Lora" w:eastAsia="Times New Roman" w:hAnsi="Lora" w:cs="Times New Roman"/>
          <w:color w:val="000000"/>
          <w:kern w:val="0"/>
          <w:sz w:val="22"/>
          <w:szCs w:val="22"/>
          <w14:ligatures w14:val="none"/>
        </w:rPr>
        <w:t> Monitor downgradient flux reduction through network sampling.</w:t>
      </w:r>
    </w:p>
    <w:p w14:paraId="775B6934" w14:textId="77777777" w:rsidR="00175565" w:rsidRPr="00175565" w:rsidRDefault="00175565" w:rsidP="00175565">
      <w:pPr>
        <w:numPr>
          <w:ilvl w:val="0"/>
          <w:numId w:val="7"/>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Media Breakthrough:</w:t>
      </w:r>
      <w:r w:rsidRPr="00175565">
        <w:rPr>
          <w:rFonts w:ascii="Lora" w:eastAsia="Times New Roman" w:hAnsi="Lora" w:cs="Times New Roman"/>
          <w:color w:val="000000"/>
          <w:kern w:val="0"/>
          <w:sz w:val="22"/>
          <w:szCs w:val="22"/>
          <w14:ligatures w14:val="none"/>
        </w:rPr>
        <w:t> Continually track differential pressure and PFAS breakthrough curves across the water-side polishing and guard beds.</w:t>
      </w:r>
    </w:p>
    <w:p w14:paraId="08DFF976" w14:textId="77777777" w:rsidR="00175565" w:rsidRPr="00175565" w:rsidRDefault="00175565" w:rsidP="00175565">
      <w:pPr>
        <w:spacing w:after="0" w:line="240" w:lineRule="auto"/>
        <w:jc w:val="center"/>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Operational Windows &amp; Reusability10MQCG [5]5COF@CS [</w:t>
      </w:r>
      <w:proofErr w:type="gramStart"/>
      <w:r w:rsidRPr="00175565">
        <w:rPr>
          <w:rFonts w:ascii="Lora" w:eastAsia="Times New Roman" w:hAnsi="Lora" w:cs="Times New Roman"/>
          <w:color w:val="000000"/>
          <w:kern w:val="0"/>
          <w:sz w:val="22"/>
          <w:szCs w:val="22"/>
          <w14:ligatures w14:val="none"/>
        </w:rPr>
        <w:t>6]Regen</w:t>
      </w:r>
      <w:proofErr w:type="gramEnd"/>
      <w:r w:rsidRPr="00175565">
        <w:rPr>
          <w:rFonts w:ascii="Lora" w:eastAsia="Times New Roman" w:hAnsi="Lora" w:cs="Times New Roman"/>
          <w:color w:val="000000"/>
          <w:kern w:val="0"/>
          <w:sz w:val="22"/>
          <w:szCs w:val="22"/>
          <w14:ligatures w14:val="none"/>
        </w:rPr>
        <w:t xml:space="preserve">. </w:t>
      </w:r>
      <w:proofErr w:type="spellStart"/>
      <w:r w:rsidRPr="00175565">
        <w:rPr>
          <w:rFonts w:ascii="Lora" w:eastAsia="Times New Roman" w:hAnsi="Lora" w:cs="Times New Roman"/>
          <w:color w:val="000000"/>
          <w:kern w:val="0"/>
          <w:sz w:val="22"/>
          <w:szCs w:val="22"/>
          <w14:ligatures w14:val="none"/>
        </w:rPr>
        <w:t>CyclesTested</w:t>
      </w:r>
      <w:proofErr w:type="spellEnd"/>
      <w:r w:rsidRPr="00175565">
        <w:rPr>
          <w:rFonts w:ascii="Lora" w:eastAsia="Times New Roman" w:hAnsi="Lora" w:cs="Times New Roman"/>
          <w:color w:val="000000"/>
          <w:kern w:val="0"/>
          <w:sz w:val="22"/>
          <w:szCs w:val="22"/>
          <w14:ligatures w14:val="none"/>
        </w:rPr>
        <w:t xml:space="preserve"> </w:t>
      </w:r>
      <w:proofErr w:type="spellStart"/>
      <w:r w:rsidRPr="00175565">
        <w:rPr>
          <w:rFonts w:ascii="Lora" w:eastAsia="Times New Roman" w:hAnsi="Lora" w:cs="Times New Roman"/>
          <w:color w:val="000000"/>
          <w:kern w:val="0"/>
          <w:sz w:val="22"/>
          <w:szCs w:val="22"/>
          <w14:ligatures w14:val="none"/>
        </w:rPr>
        <w:t>pHMQCG</w:t>
      </w:r>
      <w:proofErr w:type="spellEnd"/>
      <w:r w:rsidRPr="00175565">
        <w:rPr>
          <w:rFonts w:ascii="Lora" w:eastAsia="Times New Roman" w:hAnsi="Lora" w:cs="Times New Roman"/>
          <w:color w:val="000000"/>
          <w:kern w:val="0"/>
          <w:sz w:val="22"/>
          <w:szCs w:val="22"/>
          <w14:ligatures w14:val="none"/>
        </w:rPr>
        <w:t>: 3 - 12CS_MBC: Opt. 4Capacity Scale-Up Limits (CS_MBC) [7]517 mg/</w:t>
      </w:r>
      <w:proofErr w:type="spellStart"/>
      <w:r w:rsidRPr="00175565">
        <w:rPr>
          <w:rFonts w:ascii="Lora" w:eastAsia="Times New Roman" w:hAnsi="Lora" w:cs="Times New Roman"/>
          <w:color w:val="000000"/>
          <w:kern w:val="0"/>
          <w:sz w:val="22"/>
          <w:szCs w:val="22"/>
          <w14:ligatures w14:val="none"/>
        </w:rPr>
        <w:t>gBatch</w:t>
      </w:r>
      <w:proofErr w:type="spellEnd"/>
      <w:r w:rsidRPr="00175565">
        <w:rPr>
          <w:rFonts w:ascii="Lora" w:eastAsia="Times New Roman" w:hAnsi="Lora" w:cs="Times New Roman"/>
          <w:color w:val="000000"/>
          <w:kern w:val="0"/>
          <w:sz w:val="22"/>
          <w:szCs w:val="22"/>
          <w14:ligatures w14:val="none"/>
        </w:rPr>
        <w:t xml:space="preserve"> Isotherm39.6 mg/</w:t>
      </w:r>
      <w:proofErr w:type="spellStart"/>
      <w:r w:rsidRPr="00175565">
        <w:rPr>
          <w:rFonts w:ascii="Lora" w:eastAsia="Times New Roman" w:hAnsi="Lora" w:cs="Times New Roman"/>
          <w:color w:val="000000"/>
          <w:kern w:val="0"/>
          <w:sz w:val="22"/>
          <w:szCs w:val="22"/>
          <w14:ligatures w14:val="none"/>
        </w:rPr>
        <w:t>gFixed</w:t>
      </w:r>
      <w:proofErr w:type="spellEnd"/>
      <w:r w:rsidRPr="00175565">
        <w:rPr>
          <w:rFonts w:ascii="Lora" w:eastAsia="Times New Roman" w:hAnsi="Lora" w:cs="Times New Roman"/>
          <w:color w:val="000000"/>
          <w:kern w:val="0"/>
          <w:sz w:val="22"/>
          <w:szCs w:val="22"/>
          <w14:ligatures w14:val="none"/>
        </w:rPr>
        <w:t xml:space="preserve">-Bed </w:t>
      </w:r>
      <w:proofErr w:type="spellStart"/>
      <w:r w:rsidRPr="00175565">
        <w:rPr>
          <w:rFonts w:ascii="Lora" w:eastAsia="Times New Roman" w:hAnsi="Lora" w:cs="Times New Roman"/>
          <w:color w:val="000000"/>
          <w:kern w:val="0"/>
          <w:sz w:val="22"/>
          <w:szCs w:val="22"/>
          <w14:ligatures w14:val="none"/>
        </w:rPr>
        <w:t>ColumnCapacity</w:t>
      </w:r>
      <w:proofErr w:type="spellEnd"/>
      <w:r w:rsidRPr="00175565">
        <w:rPr>
          <w:rFonts w:ascii="Lora" w:eastAsia="Times New Roman" w:hAnsi="Lora" w:cs="Times New Roman"/>
          <w:color w:val="000000"/>
          <w:kern w:val="0"/>
          <w:sz w:val="22"/>
          <w:szCs w:val="22"/>
          <w14:ligatures w14:val="none"/>
        </w:rPr>
        <w:t xml:space="preserve"> (mg/g)Conversion </w:t>
      </w:r>
      <w:proofErr w:type="spellStart"/>
      <w:r w:rsidRPr="00175565">
        <w:rPr>
          <w:rFonts w:ascii="Lora" w:eastAsia="Times New Roman" w:hAnsi="Lora" w:cs="Times New Roman"/>
          <w:color w:val="000000"/>
          <w:kern w:val="0"/>
          <w:sz w:val="22"/>
          <w:szCs w:val="22"/>
          <w14:ligatures w14:val="none"/>
        </w:rPr>
        <w:t>Note:COF@CS</w:t>
      </w:r>
      <w:proofErr w:type="spellEnd"/>
      <w:r w:rsidRPr="00175565">
        <w:rPr>
          <w:rFonts w:ascii="Lora" w:eastAsia="Times New Roman" w:hAnsi="Lora" w:cs="Times New Roman"/>
          <w:color w:val="000000"/>
          <w:kern w:val="0"/>
          <w:sz w:val="22"/>
          <w:szCs w:val="22"/>
          <w14:ligatures w14:val="none"/>
        </w:rPr>
        <w:t xml:space="preserve"> Capacity =2.8 mmol/g (~1,160 mg/g)*Cross-study comparisons are illustrative; experimental conditions, influent matrices, and PFAS chain lengths </w:t>
      </w:r>
      <w:proofErr w:type="spellStart"/>
      <w:r w:rsidRPr="00175565">
        <w:rPr>
          <w:rFonts w:ascii="Lora" w:eastAsia="Times New Roman" w:hAnsi="Lora" w:cs="Times New Roman"/>
          <w:color w:val="000000"/>
          <w:kern w:val="0"/>
          <w:sz w:val="22"/>
          <w:szCs w:val="22"/>
          <w14:ligatures w14:val="none"/>
        </w:rPr>
        <w:t>differ.Dynamic</w:t>
      </w:r>
      <w:proofErr w:type="spellEnd"/>
      <w:r w:rsidRPr="00175565">
        <w:rPr>
          <w:rFonts w:ascii="Lora" w:eastAsia="Times New Roman" w:hAnsi="Lora" w:cs="Times New Roman"/>
          <w:color w:val="000000"/>
          <w:kern w:val="0"/>
          <w:sz w:val="22"/>
          <w:szCs w:val="22"/>
          <w14:ligatures w14:val="none"/>
        </w:rPr>
        <w:t xml:space="preserve"> capacity limits (e.g., fixed-bed) emphasize the need for conservative engineering scale-up.</w:t>
      </w:r>
    </w:p>
    <w:p w14:paraId="1371EA3A" w14:textId="77777777" w:rsidR="00175565" w:rsidRPr="00175565" w:rsidRDefault="00175565" w:rsidP="00175565">
      <w:pPr>
        <w:spacing w:after="0" w:line="240" w:lineRule="auto"/>
        <w:jc w:val="both"/>
        <w:rPr>
          <w:rFonts w:ascii="Arial" w:eastAsia="Times New Roman" w:hAnsi="Arial" w:cs="Arial"/>
          <w:i/>
          <w:iCs/>
          <w:color w:val="000000"/>
          <w:kern w:val="0"/>
          <w:sz w:val="18"/>
          <w:szCs w:val="18"/>
          <w14:ligatures w14:val="none"/>
        </w:rPr>
      </w:pPr>
      <w:r w:rsidRPr="00175565">
        <w:rPr>
          <w:rFonts w:ascii="Arial" w:eastAsia="Times New Roman" w:hAnsi="Arial" w:cs="Arial"/>
          <w:i/>
          <w:iCs/>
          <w:color w:val="000000"/>
          <w:kern w:val="0"/>
          <w:sz w:val="18"/>
          <w:szCs w:val="18"/>
          <w14:ligatures w14:val="none"/>
        </w:rPr>
        <w:t xml:space="preserve">Figure 3. Extracted literature metrics demonstrating </w:t>
      </w:r>
      <w:proofErr w:type="gramStart"/>
      <w:r w:rsidRPr="00175565">
        <w:rPr>
          <w:rFonts w:ascii="Arial" w:eastAsia="Times New Roman" w:hAnsi="Arial" w:cs="Arial"/>
          <w:i/>
          <w:iCs/>
          <w:color w:val="000000"/>
          <w:kern w:val="0"/>
          <w:sz w:val="18"/>
          <w:szCs w:val="18"/>
          <w14:ligatures w14:val="none"/>
        </w:rPr>
        <w:t>the stability</w:t>
      </w:r>
      <w:proofErr w:type="gramEnd"/>
      <w:r w:rsidRPr="00175565">
        <w:rPr>
          <w:rFonts w:ascii="Arial" w:eastAsia="Times New Roman" w:hAnsi="Arial" w:cs="Arial"/>
          <w:i/>
          <w:iCs/>
          <w:color w:val="000000"/>
          <w:kern w:val="0"/>
          <w:sz w:val="18"/>
          <w:szCs w:val="18"/>
          <w14:ligatures w14:val="none"/>
        </w:rPr>
        <w:t xml:space="preserve"> (regeneration) and necessary scaling conservatism (batch vs. dynamic column capacity) associated with chitosan-modified matrices.</w:t>
      </w:r>
    </w:p>
    <w:p w14:paraId="57C05EDB" w14:textId="77777777" w:rsid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p>
    <w:p w14:paraId="14337C0E" w14:textId="7CEE29A3"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lastRenderedPageBreak/>
        <w:t>9. Residuals and Waste Management</w:t>
      </w:r>
    </w:p>
    <w:p w14:paraId="162AD56B"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All spent media and generated waste must be managed strictly following federal and state guidelines. Although the chitosan-biochar composite firmly immobilizes PFAS, spent media from the water polishing systems will eventually exhaust. Common, compliant options for spent media management include off-site thermal destruction via commercial incineration, high-temperature cement kilns, or appropriately permitted landfilling (where leachate management is heavily scrutinized) [8].</w:t>
      </w:r>
    </w:p>
    <w:p w14:paraId="044A236C" w14:textId="77777777"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t>10. Limitations, Risk Controls, and Scale-Up Considerations</w:t>
      </w:r>
    </w:p>
    <w:p w14:paraId="2B3D8688"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The proposed remedy must be engineered to account for known limitations inherent to biopolymer sorbents:</w:t>
      </w:r>
    </w:p>
    <w:p w14:paraId="725ECDE5" w14:textId="77777777" w:rsidR="00175565" w:rsidRPr="00175565" w:rsidRDefault="00175565" w:rsidP="00175565">
      <w:pPr>
        <w:numPr>
          <w:ilvl w:val="0"/>
          <w:numId w:val="8"/>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Capacity Drop in Dynamic Flow:</w:t>
      </w:r>
      <w:r w:rsidRPr="00175565">
        <w:rPr>
          <w:rFonts w:ascii="Lora" w:eastAsia="Times New Roman" w:hAnsi="Lora" w:cs="Times New Roman"/>
          <w:color w:val="000000"/>
          <w:kern w:val="0"/>
          <w:sz w:val="22"/>
          <w:szCs w:val="22"/>
          <w14:ligatures w14:val="none"/>
        </w:rPr>
        <w:t xml:space="preserve"> As demonstrated by </w:t>
      </w:r>
      <w:proofErr w:type="spellStart"/>
      <w:r w:rsidRPr="00175565">
        <w:rPr>
          <w:rFonts w:ascii="Lora" w:eastAsia="Times New Roman" w:hAnsi="Lora" w:cs="Times New Roman"/>
          <w:color w:val="000000"/>
          <w:kern w:val="0"/>
          <w:sz w:val="22"/>
          <w:szCs w:val="22"/>
          <w14:ligatures w14:val="none"/>
        </w:rPr>
        <w:t>Saawarn</w:t>
      </w:r>
      <w:proofErr w:type="spellEnd"/>
      <w:r w:rsidRPr="00175565">
        <w:rPr>
          <w:rFonts w:ascii="Lora" w:eastAsia="Times New Roman" w:hAnsi="Lora" w:cs="Times New Roman"/>
          <w:color w:val="000000"/>
          <w:kern w:val="0"/>
          <w:sz w:val="22"/>
          <w:szCs w:val="22"/>
          <w14:ligatures w14:val="none"/>
        </w:rPr>
        <w:t xml:space="preserve"> et al. [7], fixed-bed column capacities (39.63 mg/g) can be significantly lower than theoretical batch maximums (517 mg/g). Scale-up designs must utilize </w:t>
      </w:r>
      <w:proofErr w:type="gramStart"/>
      <w:r w:rsidRPr="00175565">
        <w:rPr>
          <w:rFonts w:ascii="Lora" w:eastAsia="Times New Roman" w:hAnsi="Lora" w:cs="Times New Roman"/>
          <w:color w:val="000000"/>
          <w:kern w:val="0"/>
          <w:sz w:val="22"/>
          <w:szCs w:val="22"/>
          <w14:ligatures w14:val="none"/>
        </w:rPr>
        <w:t>the conservative</w:t>
      </w:r>
      <w:proofErr w:type="gramEnd"/>
      <w:r w:rsidRPr="00175565">
        <w:rPr>
          <w:rFonts w:ascii="Lora" w:eastAsia="Times New Roman" w:hAnsi="Lora" w:cs="Times New Roman"/>
          <w:color w:val="000000"/>
          <w:kern w:val="0"/>
          <w:sz w:val="22"/>
          <w:szCs w:val="22"/>
          <w14:ligatures w14:val="none"/>
        </w:rPr>
        <w:t xml:space="preserve"> dynamic capacity.</w:t>
      </w:r>
    </w:p>
    <w:p w14:paraId="3A0DB6C3" w14:textId="77777777" w:rsidR="00175565" w:rsidRPr="00175565" w:rsidRDefault="00175565" w:rsidP="00175565">
      <w:pPr>
        <w:numPr>
          <w:ilvl w:val="0"/>
          <w:numId w:val="8"/>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Washout Risks:</w:t>
      </w:r>
      <w:r w:rsidRPr="00175565">
        <w:rPr>
          <w:rFonts w:ascii="Lora" w:eastAsia="Times New Roman" w:hAnsi="Lora" w:cs="Times New Roman"/>
          <w:color w:val="000000"/>
          <w:kern w:val="0"/>
          <w:sz w:val="22"/>
          <w:szCs w:val="22"/>
          <w14:ligatures w14:val="none"/>
        </w:rPr>
        <w:t> Bonding COS-HCl onto the biochar support is mandatory for geotechnical stability.</w:t>
      </w:r>
    </w:p>
    <w:p w14:paraId="3B293852" w14:textId="77777777" w:rsidR="00175565" w:rsidRPr="00175565" w:rsidRDefault="00175565" w:rsidP="00175565">
      <w:pPr>
        <w:numPr>
          <w:ilvl w:val="0"/>
          <w:numId w:val="8"/>
        </w:numPr>
        <w:spacing w:before="100" w:beforeAutospacing="1" w:after="12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b/>
          <w:bCs/>
          <w:color w:val="000000"/>
          <w:kern w:val="0"/>
          <w:sz w:val="22"/>
          <w:szCs w:val="22"/>
          <w14:ligatures w14:val="none"/>
        </w:rPr>
        <w:t>Fouling and Competition:</w:t>
      </w:r>
      <w:r w:rsidRPr="00175565">
        <w:rPr>
          <w:rFonts w:ascii="Lora" w:eastAsia="Times New Roman" w:hAnsi="Lora" w:cs="Times New Roman"/>
          <w:color w:val="000000"/>
          <w:kern w:val="0"/>
          <w:sz w:val="22"/>
          <w:szCs w:val="22"/>
          <w14:ligatures w14:val="none"/>
        </w:rPr>
        <w:t xml:space="preserve"> Natural organic matter (NOM) can compete for adsorption sites on the biochar matrix, reducing the total available capacity for PFAS. The </w:t>
      </w:r>
      <w:proofErr w:type="gramStart"/>
      <w:r w:rsidRPr="00175565">
        <w:rPr>
          <w:rFonts w:ascii="Lora" w:eastAsia="Times New Roman" w:hAnsi="Lora" w:cs="Times New Roman"/>
          <w:color w:val="000000"/>
          <w:kern w:val="0"/>
          <w:sz w:val="22"/>
          <w:szCs w:val="22"/>
          <w14:ligatures w14:val="none"/>
        </w:rPr>
        <w:t>dual-mechanism</w:t>
      </w:r>
      <w:proofErr w:type="gramEnd"/>
      <w:r w:rsidRPr="00175565">
        <w:rPr>
          <w:rFonts w:ascii="Lora" w:eastAsia="Times New Roman" w:hAnsi="Lora" w:cs="Times New Roman"/>
          <w:color w:val="000000"/>
          <w:kern w:val="0"/>
          <w:sz w:val="22"/>
          <w:szCs w:val="22"/>
          <w14:ligatures w14:val="none"/>
        </w:rPr>
        <w:t xml:space="preserve"> (electrostatic from chitosan + hydrophobic from biochar) mitigates this risk, but pretreatment (e.g., solids removal) remains essential.</w:t>
      </w:r>
    </w:p>
    <w:p w14:paraId="376287B1" w14:textId="77777777"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t>11. Conclusions</w:t>
      </w:r>
    </w:p>
    <w:p w14:paraId="59FC6C56" w14:textId="77777777" w:rsidR="00175565" w:rsidRPr="00175565" w:rsidRDefault="00175565" w:rsidP="00175565">
      <w:pPr>
        <w:spacing w:before="100" w:beforeAutospacing="1" w:after="240" w:line="240" w:lineRule="auto"/>
        <w:jc w:val="both"/>
        <w:rPr>
          <w:rFonts w:ascii="Lora" w:eastAsia="Times New Roman" w:hAnsi="Lora" w:cs="Times New Roman"/>
          <w:color w:val="000000"/>
          <w:kern w:val="0"/>
          <w:sz w:val="22"/>
          <w:szCs w:val="22"/>
          <w14:ligatures w14:val="none"/>
        </w:rPr>
      </w:pPr>
      <w:r w:rsidRPr="00175565">
        <w:rPr>
          <w:rFonts w:ascii="Lora" w:eastAsia="Times New Roman" w:hAnsi="Lora" w:cs="Times New Roman"/>
          <w:color w:val="000000"/>
          <w:kern w:val="0"/>
          <w:sz w:val="22"/>
          <w:szCs w:val="22"/>
          <w14:ligatures w14:val="none"/>
        </w:rPr>
        <w:t>An integrated immobilization platform combining chitosan oligosaccharide-hydrochloride with engineered biochar offers a highly viable, sustainable approach to managing PFAS mass flux. By acting as a targeted amendment within a comprehensive treatment train, the positively charged chitosan effectively binds both long- and short-chain PFAS, while the biochar matrix ensures physical stability and hydraulic compatibility. When coupled with conservative scale-up practices, precise execution protocols, and conventional polishing guards, this methodology fulfills the regulatory mandate to protect downstream receptors while actively mitigating source-zone liabilities.</w:t>
      </w:r>
    </w:p>
    <w:p w14:paraId="4F2ECB9B" w14:textId="77777777" w:rsid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p>
    <w:p w14:paraId="7FF89C81" w14:textId="77777777" w:rsid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p>
    <w:p w14:paraId="43D513AE" w14:textId="5145DB3D" w:rsidR="00175565" w:rsidRPr="00175565" w:rsidRDefault="00175565" w:rsidP="00175565">
      <w:pPr>
        <w:pBdr>
          <w:bottom w:val="single" w:sz="6" w:space="3" w:color="CCCCCC"/>
        </w:pBdr>
        <w:spacing w:before="360" w:after="120" w:line="240" w:lineRule="auto"/>
        <w:outlineLvl w:val="1"/>
        <w:rPr>
          <w:rFonts w:ascii="Arial" w:eastAsia="Times New Roman" w:hAnsi="Arial" w:cs="Arial"/>
          <w:b/>
          <w:bCs/>
          <w:color w:val="000000"/>
          <w:kern w:val="0"/>
          <w:sz w:val="34"/>
          <w:szCs w:val="34"/>
          <w14:ligatures w14:val="none"/>
        </w:rPr>
      </w:pPr>
      <w:r w:rsidRPr="00175565">
        <w:rPr>
          <w:rFonts w:ascii="Arial" w:eastAsia="Times New Roman" w:hAnsi="Arial" w:cs="Arial"/>
          <w:b/>
          <w:bCs/>
          <w:color w:val="000000"/>
          <w:kern w:val="0"/>
          <w:sz w:val="34"/>
          <w:szCs w:val="34"/>
          <w14:ligatures w14:val="none"/>
        </w:rPr>
        <w:lastRenderedPageBreak/>
        <w:t>12. References</w:t>
      </w:r>
    </w:p>
    <w:p w14:paraId="6060DE63" w14:textId="77777777" w:rsidR="00175565" w:rsidRPr="00175565" w:rsidRDefault="00175565" w:rsidP="00175565">
      <w:pPr>
        <w:numPr>
          <w:ilvl w:val="0"/>
          <w:numId w:val="9"/>
        </w:numPr>
        <w:spacing w:before="100" w:beforeAutospacing="1" w:after="150" w:line="240" w:lineRule="auto"/>
        <w:jc w:val="both"/>
        <w:rPr>
          <w:rFonts w:ascii="Lora" w:eastAsia="Times New Roman" w:hAnsi="Lora" w:cs="Times New Roman"/>
          <w:color w:val="000000"/>
          <w:kern w:val="0"/>
          <w:sz w:val="18"/>
          <w:szCs w:val="18"/>
          <w14:ligatures w14:val="none"/>
        </w:rPr>
      </w:pPr>
      <w:r w:rsidRPr="00175565">
        <w:rPr>
          <w:rFonts w:ascii="Lora" w:eastAsia="Times New Roman" w:hAnsi="Lora" w:cs="Times New Roman"/>
          <w:color w:val="000000"/>
          <w:kern w:val="0"/>
          <w:sz w:val="18"/>
          <w:szCs w:val="18"/>
          <w14:ligatures w14:val="none"/>
        </w:rPr>
        <w:t>Chitosan Global. "A Powerful Natural Biopolymer for Health and Environment." </w:t>
      </w:r>
      <w:hyperlink r:id="rId5" w:tgtFrame="_blank" w:history="1">
        <w:r w:rsidRPr="00175565">
          <w:rPr>
            <w:rFonts w:ascii="Lora" w:eastAsia="Times New Roman" w:hAnsi="Lora" w:cs="Times New Roman"/>
            <w:color w:val="000000"/>
            <w:kern w:val="0"/>
            <w:sz w:val="18"/>
            <w:szCs w:val="18"/>
            <w:u w:val="single"/>
            <w14:ligatures w14:val="none"/>
          </w:rPr>
          <w:t>https://chitosanglobal.com/</w:t>
        </w:r>
      </w:hyperlink>
    </w:p>
    <w:p w14:paraId="7F40768B" w14:textId="77777777" w:rsidR="00175565" w:rsidRPr="00175565" w:rsidRDefault="00175565" w:rsidP="00175565">
      <w:pPr>
        <w:numPr>
          <w:ilvl w:val="0"/>
          <w:numId w:val="9"/>
        </w:numPr>
        <w:spacing w:before="100" w:beforeAutospacing="1" w:after="150" w:line="240" w:lineRule="auto"/>
        <w:jc w:val="both"/>
        <w:rPr>
          <w:rFonts w:ascii="Lora" w:eastAsia="Times New Roman" w:hAnsi="Lora" w:cs="Times New Roman"/>
          <w:color w:val="000000"/>
          <w:kern w:val="0"/>
          <w:sz w:val="18"/>
          <w:szCs w:val="18"/>
          <w14:ligatures w14:val="none"/>
        </w:rPr>
      </w:pPr>
      <w:r w:rsidRPr="00175565">
        <w:rPr>
          <w:rFonts w:ascii="Lora" w:eastAsia="Times New Roman" w:hAnsi="Lora" w:cs="Times New Roman"/>
          <w:color w:val="000000"/>
          <w:kern w:val="0"/>
          <w:sz w:val="18"/>
          <w:szCs w:val="18"/>
          <w14:ligatures w14:val="none"/>
        </w:rPr>
        <w:t>Chitosan Global. "Chitosan Oligosaccharide Hydrochloride – (Mushroom) – Chitosan Global." </w:t>
      </w:r>
      <w:hyperlink r:id="rId6" w:tgtFrame="_blank" w:history="1">
        <w:r w:rsidRPr="00175565">
          <w:rPr>
            <w:rFonts w:ascii="Lora" w:eastAsia="Times New Roman" w:hAnsi="Lora" w:cs="Times New Roman"/>
            <w:color w:val="000000"/>
            <w:kern w:val="0"/>
            <w:sz w:val="18"/>
            <w:szCs w:val="18"/>
            <w:u w:val="single"/>
            <w14:ligatures w14:val="none"/>
          </w:rPr>
          <w:t>https://chitosanglobal.com/product/chitosan-oligosaccharide-hydrochloride-mushroom/</w:t>
        </w:r>
      </w:hyperlink>
    </w:p>
    <w:p w14:paraId="6710B8FE" w14:textId="77777777" w:rsidR="00175565" w:rsidRPr="00175565" w:rsidRDefault="00175565" w:rsidP="00175565">
      <w:pPr>
        <w:numPr>
          <w:ilvl w:val="0"/>
          <w:numId w:val="9"/>
        </w:numPr>
        <w:spacing w:before="100" w:beforeAutospacing="1" w:after="150" w:line="240" w:lineRule="auto"/>
        <w:jc w:val="both"/>
        <w:rPr>
          <w:rFonts w:ascii="Lora" w:eastAsia="Times New Roman" w:hAnsi="Lora" w:cs="Times New Roman"/>
          <w:color w:val="000000"/>
          <w:kern w:val="0"/>
          <w:sz w:val="18"/>
          <w:szCs w:val="18"/>
          <w14:ligatures w14:val="none"/>
        </w:rPr>
      </w:pPr>
      <w:r w:rsidRPr="00175565">
        <w:rPr>
          <w:rFonts w:ascii="Lora" w:eastAsia="Times New Roman" w:hAnsi="Lora" w:cs="Times New Roman"/>
          <w:color w:val="000000"/>
          <w:kern w:val="0"/>
          <w:sz w:val="18"/>
          <w:szCs w:val="18"/>
          <w14:ligatures w14:val="none"/>
        </w:rPr>
        <w:t>Chitosan Global. "Bulk Soluble Chitosan for Food, Pharma &amp; Liquid Formulation Systems." </w:t>
      </w:r>
      <w:hyperlink r:id="rId7" w:tgtFrame="_blank" w:history="1">
        <w:r w:rsidRPr="00175565">
          <w:rPr>
            <w:rFonts w:ascii="Lora" w:eastAsia="Times New Roman" w:hAnsi="Lora" w:cs="Times New Roman"/>
            <w:color w:val="000000"/>
            <w:kern w:val="0"/>
            <w:sz w:val="18"/>
            <w:szCs w:val="18"/>
            <w:u w:val="single"/>
            <w14:ligatures w14:val="none"/>
          </w:rPr>
          <w:t>https://chitosanglobal.com/water-soluble-chitosan-supplier/</w:t>
        </w:r>
      </w:hyperlink>
    </w:p>
    <w:p w14:paraId="0795C3EA" w14:textId="77777777" w:rsidR="00175565" w:rsidRPr="00175565" w:rsidRDefault="00175565" w:rsidP="00175565">
      <w:pPr>
        <w:numPr>
          <w:ilvl w:val="0"/>
          <w:numId w:val="9"/>
        </w:numPr>
        <w:spacing w:before="100" w:beforeAutospacing="1" w:after="150" w:line="240" w:lineRule="auto"/>
        <w:jc w:val="both"/>
        <w:rPr>
          <w:rFonts w:ascii="Lora" w:eastAsia="Times New Roman" w:hAnsi="Lora" w:cs="Times New Roman"/>
          <w:color w:val="000000"/>
          <w:kern w:val="0"/>
          <w:sz w:val="18"/>
          <w:szCs w:val="18"/>
          <w14:ligatures w14:val="none"/>
        </w:rPr>
      </w:pPr>
      <w:r w:rsidRPr="00175565">
        <w:rPr>
          <w:rFonts w:ascii="Lora" w:eastAsia="Times New Roman" w:hAnsi="Lora" w:cs="Times New Roman"/>
          <w:color w:val="000000"/>
          <w:kern w:val="0"/>
          <w:sz w:val="18"/>
          <w:szCs w:val="18"/>
          <w14:ligatures w14:val="none"/>
        </w:rPr>
        <w:t>Promecens Entosystems Private Limited. "Certificate of Analysis: Promecens Chitosan Hydrochloride (Water-Soluble)." Chitosan Global. </w:t>
      </w:r>
      <w:hyperlink r:id="rId8" w:tgtFrame="_blank" w:history="1">
        <w:r w:rsidRPr="00175565">
          <w:rPr>
            <w:rFonts w:ascii="Lora" w:eastAsia="Times New Roman" w:hAnsi="Lora" w:cs="Times New Roman"/>
            <w:color w:val="000000"/>
            <w:kern w:val="0"/>
            <w:sz w:val="18"/>
            <w:szCs w:val="18"/>
            <w:u w:val="single"/>
            <w14:ligatures w14:val="none"/>
          </w:rPr>
          <w:t>https://chitosanglobal.com/wp-content/uploads/2025/08/Promecens-Chitosan-Hydrochloride_COA.pdf</w:t>
        </w:r>
      </w:hyperlink>
    </w:p>
    <w:p w14:paraId="1789A11B" w14:textId="77777777" w:rsidR="00175565" w:rsidRPr="00175565" w:rsidRDefault="00175565" w:rsidP="00175565">
      <w:pPr>
        <w:numPr>
          <w:ilvl w:val="0"/>
          <w:numId w:val="9"/>
        </w:numPr>
        <w:spacing w:before="100" w:beforeAutospacing="1" w:after="150" w:line="240" w:lineRule="auto"/>
        <w:jc w:val="both"/>
        <w:rPr>
          <w:rFonts w:ascii="Lora" w:eastAsia="Times New Roman" w:hAnsi="Lora" w:cs="Times New Roman"/>
          <w:color w:val="000000"/>
          <w:kern w:val="0"/>
          <w:sz w:val="18"/>
          <w:szCs w:val="18"/>
          <w14:ligatures w14:val="none"/>
        </w:rPr>
      </w:pPr>
      <w:r w:rsidRPr="00175565">
        <w:rPr>
          <w:rFonts w:ascii="Lora" w:eastAsia="Times New Roman" w:hAnsi="Lora" w:cs="Times New Roman"/>
          <w:color w:val="000000"/>
          <w:kern w:val="0"/>
          <w:sz w:val="18"/>
          <w:szCs w:val="18"/>
          <w14:ligatures w14:val="none"/>
        </w:rPr>
        <w:t>Kashani, M. B., et al. (2025). "Highly Efficient Removal of PFAS from Water Using Surface-Modified Regenerable Quaternized Chitosan Hydrogels." </w:t>
      </w:r>
      <w:r w:rsidRPr="00175565">
        <w:rPr>
          <w:rFonts w:ascii="Lora" w:eastAsia="Times New Roman" w:hAnsi="Lora" w:cs="Times New Roman"/>
          <w:i/>
          <w:iCs/>
          <w:color w:val="000000"/>
          <w:kern w:val="0"/>
          <w:sz w:val="18"/>
          <w:szCs w:val="18"/>
          <w14:ligatures w14:val="none"/>
        </w:rPr>
        <w:t>Gels</w:t>
      </w:r>
      <w:r w:rsidRPr="00175565">
        <w:rPr>
          <w:rFonts w:ascii="Lora" w:eastAsia="Times New Roman" w:hAnsi="Lora" w:cs="Times New Roman"/>
          <w:color w:val="000000"/>
          <w:kern w:val="0"/>
          <w:sz w:val="18"/>
          <w:szCs w:val="18"/>
          <w14:ligatures w14:val="none"/>
        </w:rPr>
        <w:t>. PMC12841056. </w:t>
      </w:r>
      <w:hyperlink r:id="rId9" w:tgtFrame="_blank" w:history="1">
        <w:r w:rsidRPr="00175565">
          <w:rPr>
            <w:rFonts w:ascii="Lora" w:eastAsia="Times New Roman" w:hAnsi="Lora" w:cs="Times New Roman"/>
            <w:color w:val="000000"/>
            <w:kern w:val="0"/>
            <w:sz w:val="18"/>
            <w:szCs w:val="18"/>
            <w:u w:val="single"/>
            <w14:ligatures w14:val="none"/>
          </w:rPr>
          <w:t>https://pmc.ncbi.nlm.nih.gov/articles/PMC12841056/</w:t>
        </w:r>
      </w:hyperlink>
    </w:p>
    <w:p w14:paraId="15F64C06" w14:textId="77777777" w:rsidR="00175565" w:rsidRPr="00175565" w:rsidRDefault="00175565" w:rsidP="00175565">
      <w:pPr>
        <w:numPr>
          <w:ilvl w:val="0"/>
          <w:numId w:val="9"/>
        </w:numPr>
        <w:spacing w:before="100" w:beforeAutospacing="1" w:after="150" w:line="240" w:lineRule="auto"/>
        <w:jc w:val="both"/>
        <w:rPr>
          <w:rFonts w:ascii="Lora" w:eastAsia="Times New Roman" w:hAnsi="Lora" w:cs="Times New Roman"/>
          <w:color w:val="000000"/>
          <w:kern w:val="0"/>
          <w:sz w:val="18"/>
          <w:szCs w:val="18"/>
          <w14:ligatures w14:val="none"/>
        </w:rPr>
      </w:pPr>
      <w:r w:rsidRPr="00175565">
        <w:rPr>
          <w:rFonts w:ascii="Lora" w:eastAsia="Times New Roman" w:hAnsi="Lora" w:cs="Times New Roman"/>
          <w:color w:val="000000"/>
          <w:kern w:val="0"/>
          <w:sz w:val="18"/>
          <w:szCs w:val="18"/>
          <w14:ligatures w14:val="none"/>
        </w:rPr>
        <w:t>Yang, X., et al. (2024). "Efficient removal of per/polyfluoroalkyl substances from water using an amine-functionalized covalent organic framework wrapped in chitosan." </w:t>
      </w:r>
      <w:r w:rsidRPr="00175565">
        <w:rPr>
          <w:rFonts w:ascii="Lora" w:eastAsia="Times New Roman" w:hAnsi="Lora" w:cs="Times New Roman"/>
          <w:i/>
          <w:iCs/>
          <w:color w:val="000000"/>
          <w:kern w:val="0"/>
          <w:sz w:val="18"/>
          <w:szCs w:val="18"/>
          <w14:ligatures w14:val="none"/>
        </w:rPr>
        <w:t>Environmental Science: Water Research &amp; Technology</w:t>
      </w:r>
      <w:r w:rsidRPr="00175565">
        <w:rPr>
          <w:rFonts w:ascii="Lora" w:eastAsia="Times New Roman" w:hAnsi="Lora" w:cs="Times New Roman"/>
          <w:color w:val="000000"/>
          <w:kern w:val="0"/>
          <w:sz w:val="18"/>
          <w:szCs w:val="18"/>
          <w14:ligatures w14:val="none"/>
        </w:rPr>
        <w:t>. PubMed 38588893. </w:t>
      </w:r>
      <w:hyperlink r:id="rId10" w:tgtFrame="_blank" w:history="1">
        <w:r w:rsidRPr="00175565">
          <w:rPr>
            <w:rFonts w:ascii="Lora" w:eastAsia="Times New Roman" w:hAnsi="Lora" w:cs="Times New Roman"/>
            <w:color w:val="000000"/>
            <w:kern w:val="0"/>
            <w:sz w:val="18"/>
            <w:szCs w:val="18"/>
            <w:u w:val="single"/>
            <w14:ligatures w14:val="none"/>
          </w:rPr>
          <w:t>https://pubmed.ncbi.nlm.nih.gov/38588893/</w:t>
        </w:r>
      </w:hyperlink>
    </w:p>
    <w:p w14:paraId="24CF3309" w14:textId="77777777" w:rsidR="00175565" w:rsidRPr="00175565" w:rsidRDefault="00175565" w:rsidP="00175565">
      <w:pPr>
        <w:numPr>
          <w:ilvl w:val="0"/>
          <w:numId w:val="9"/>
        </w:numPr>
        <w:spacing w:before="100" w:beforeAutospacing="1" w:after="150" w:line="240" w:lineRule="auto"/>
        <w:jc w:val="both"/>
        <w:rPr>
          <w:rFonts w:ascii="Lora" w:eastAsia="Times New Roman" w:hAnsi="Lora" w:cs="Times New Roman"/>
          <w:color w:val="000000"/>
          <w:kern w:val="0"/>
          <w:sz w:val="18"/>
          <w:szCs w:val="18"/>
          <w14:ligatures w14:val="none"/>
        </w:rPr>
      </w:pPr>
      <w:proofErr w:type="spellStart"/>
      <w:r w:rsidRPr="00175565">
        <w:rPr>
          <w:rFonts w:ascii="Lora" w:eastAsia="Times New Roman" w:hAnsi="Lora" w:cs="Times New Roman"/>
          <w:color w:val="000000"/>
          <w:kern w:val="0"/>
          <w:sz w:val="18"/>
          <w:szCs w:val="18"/>
          <w14:ligatures w14:val="none"/>
        </w:rPr>
        <w:t>Saawarn</w:t>
      </w:r>
      <w:proofErr w:type="spellEnd"/>
      <w:r w:rsidRPr="00175565">
        <w:rPr>
          <w:rFonts w:ascii="Lora" w:eastAsia="Times New Roman" w:hAnsi="Lora" w:cs="Times New Roman"/>
          <w:color w:val="000000"/>
          <w:kern w:val="0"/>
          <w:sz w:val="18"/>
          <w:szCs w:val="18"/>
          <w14:ligatures w14:val="none"/>
        </w:rPr>
        <w:t>, B., et al. (2025). "Adsorption of perfluorooctanoic acid from aqueous matrices onto an effective chitosan-modified magnetic biochar." </w:t>
      </w:r>
      <w:r w:rsidRPr="00175565">
        <w:rPr>
          <w:rFonts w:ascii="Lora" w:eastAsia="Times New Roman" w:hAnsi="Lora" w:cs="Times New Roman"/>
          <w:i/>
          <w:iCs/>
          <w:color w:val="000000"/>
          <w:kern w:val="0"/>
          <w:sz w:val="18"/>
          <w:szCs w:val="18"/>
          <w14:ligatures w14:val="none"/>
        </w:rPr>
        <w:t>Environmental Science and Pollution Research</w:t>
      </w:r>
      <w:r w:rsidRPr="00175565">
        <w:rPr>
          <w:rFonts w:ascii="Lora" w:eastAsia="Times New Roman" w:hAnsi="Lora" w:cs="Times New Roman"/>
          <w:color w:val="000000"/>
          <w:kern w:val="0"/>
          <w:sz w:val="18"/>
          <w:szCs w:val="18"/>
          <w14:ligatures w14:val="none"/>
        </w:rPr>
        <w:t>. PubMed 39848485. </w:t>
      </w:r>
      <w:hyperlink r:id="rId11" w:tgtFrame="_blank" w:history="1">
        <w:r w:rsidRPr="00175565">
          <w:rPr>
            <w:rFonts w:ascii="Lora" w:eastAsia="Times New Roman" w:hAnsi="Lora" w:cs="Times New Roman"/>
            <w:color w:val="000000"/>
            <w:kern w:val="0"/>
            <w:sz w:val="18"/>
            <w:szCs w:val="18"/>
            <w:u w:val="single"/>
            <w14:ligatures w14:val="none"/>
          </w:rPr>
          <w:t>https://pubmed.ncbi.nlm.nih.gov/39848485/</w:t>
        </w:r>
      </w:hyperlink>
    </w:p>
    <w:p w14:paraId="3BE5A43B" w14:textId="77777777" w:rsidR="00175565" w:rsidRPr="00175565" w:rsidRDefault="00175565" w:rsidP="00175565">
      <w:pPr>
        <w:numPr>
          <w:ilvl w:val="0"/>
          <w:numId w:val="9"/>
        </w:numPr>
        <w:spacing w:before="100" w:beforeAutospacing="1" w:after="150" w:line="240" w:lineRule="auto"/>
        <w:jc w:val="both"/>
        <w:rPr>
          <w:rFonts w:ascii="Lora" w:eastAsia="Times New Roman" w:hAnsi="Lora" w:cs="Times New Roman"/>
          <w:color w:val="000000"/>
          <w:kern w:val="0"/>
          <w:sz w:val="18"/>
          <w:szCs w:val="18"/>
          <w14:ligatures w14:val="none"/>
        </w:rPr>
      </w:pPr>
      <w:r w:rsidRPr="00175565">
        <w:rPr>
          <w:rFonts w:ascii="Lora" w:eastAsia="Times New Roman" w:hAnsi="Lora" w:cs="Times New Roman"/>
          <w:color w:val="000000"/>
          <w:kern w:val="0"/>
          <w:sz w:val="18"/>
          <w:szCs w:val="18"/>
          <w14:ligatures w14:val="none"/>
        </w:rPr>
        <w:t>Interstate Technology and Regulatory Council (ITRC). "12 Treatment Technologies - PFAS." </w:t>
      </w:r>
      <w:hyperlink r:id="rId12" w:tgtFrame="_blank" w:history="1">
        <w:r w:rsidRPr="00175565">
          <w:rPr>
            <w:rFonts w:ascii="Lora" w:eastAsia="Times New Roman" w:hAnsi="Lora" w:cs="Times New Roman"/>
            <w:color w:val="000000"/>
            <w:kern w:val="0"/>
            <w:sz w:val="18"/>
            <w:szCs w:val="18"/>
            <w:u w:val="single"/>
            <w14:ligatures w14:val="none"/>
          </w:rPr>
          <w:t>https://pfas-1.itrcweb.org/12-treatment-technologies/</w:t>
        </w:r>
      </w:hyperlink>
    </w:p>
    <w:p w14:paraId="592A49DF" w14:textId="77777777" w:rsidR="007E48BB" w:rsidRDefault="007E48BB"/>
    <w:sectPr w:rsidR="007E48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ora">
    <w:panose1 w:val="00000500000000000000"/>
    <w:charset w:val="00"/>
    <w:family w:val="auto"/>
    <w:pitch w:val="variable"/>
    <w:sig w:usb0="20000207" w:usb1="00000000"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03FCF"/>
    <w:multiLevelType w:val="multilevel"/>
    <w:tmpl w:val="47829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3D6FF0"/>
    <w:multiLevelType w:val="multilevel"/>
    <w:tmpl w:val="155E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193549"/>
    <w:multiLevelType w:val="multilevel"/>
    <w:tmpl w:val="EEE6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53C0F"/>
    <w:multiLevelType w:val="multilevel"/>
    <w:tmpl w:val="B1E6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B7AF1"/>
    <w:multiLevelType w:val="multilevel"/>
    <w:tmpl w:val="A160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05E8A"/>
    <w:multiLevelType w:val="multilevel"/>
    <w:tmpl w:val="25A46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A5092B"/>
    <w:multiLevelType w:val="multilevel"/>
    <w:tmpl w:val="B1DA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246565"/>
    <w:multiLevelType w:val="multilevel"/>
    <w:tmpl w:val="34B4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B4D23"/>
    <w:multiLevelType w:val="multilevel"/>
    <w:tmpl w:val="FE38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5670444">
    <w:abstractNumId w:val="7"/>
  </w:num>
  <w:num w:numId="2" w16cid:durableId="562177565">
    <w:abstractNumId w:val="4"/>
  </w:num>
  <w:num w:numId="3" w16cid:durableId="1591625403">
    <w:abstractNumId w:val="6"/>
  </w:num>
  <w:num w:numId="4" w16cid:durableId="1944607874">
    <w:abstractNumId w:val="5"/>
  </w:num>
  <w:num w:numId="5" w16cid:durableId="437024343">
    <w:abstractNumId w:val="1"/>
  </w:num>
  <w:num w:numId="6" w16cid:durableId="1911890437">
    <w:abstractNumId w:val="3"/>
  </w:num>
  <w:num w:numId="7" w16cid:durableId="1346514790">
    <w:abstractNumId w:val="8"/>
  </w:num>
  <w:num w:numId="8" w16cid:durableId="560671700">
    <w:abstractNumId w:val="2"/>
  </w:num>
  <w:num w:numId="9" w16cid:durableId="168035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565"/>
    <w:rsid w:val="00171C73"/>
    <w:rsid w:val="00175565"/>
    <w:rsid w:val="004F110A"/>
    <w:rsid w:val="007E48BB"/>
    <w:rsid w:val="00F0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E4B83"/>
  <w15:chartTrackingRefBased/>
  <w15:docId w15:val="{F9BCE800-489B-479D-8A6C-15436F1D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5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5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5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5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5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5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5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565"/>
    <w:rPr>
      <w:rFonts w:eastAsiaTheme="majorEastAsia" w:cstheme="majorBidi"/>
      <w:color w:val="272727" w:themeColor="text1" w:themeTint="D8"/>
    </w:rPr>
  </w:style>
  <w:style w:type="paragraph" w:styleId="Title">
    <w:name w:val="Title"/>
    <w:basedOn w:val="Normal"/>
    <w:next w:val="Normal"/>
    <w:link w:val="TitleChar"/>
    <w:uiPriority w:val="10"/>
    <w:qFormat/>
    <w:rsid w:val="00175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565"/>
    <w:pPr>
      <w:spacing w:before="160"/>
      <w:jc w:val="center"/>
    </w:pPr>
    <w:rPr>
      <w:i/>
      <w:iCs/>
      <w:color w:val="404040" w:themeColor="text1" w:themeTint="BF"/>
    </w:rPr>
  </w:style>
  <w:style w:type="character" w:customStyle="1" w:styleId="QuoteChar">
    <w:name w:val="Quote Char"/>
    <w:basedOn w:val="DefaultParagraphFont"/>
    <w:link w:val="Quote"/>
    <w:uiPriority w:val="29"/>
    <w:rsid w:val="00175565"/>
    <w:rPr>
      <w:i/>
      <w:iCs/>
      <w:color w:val="404040" w:themeColor="text1" w:themeTint="BF"/>
    </w:rPr>
  </w:style>
  <w:style w:type="paragraph" w:styleId="ListParagraph">
    <w:name w:val="List Paragraph"/>
    <w:basedOn w:val="Normal"/>
    <w:uiPriority w:val="34"/>
    <w:qFormat/>
    <w:rsid w:val="00175565"/>
    <w:pPr>
      <w:ind w:left="720"/>
      <w:contextualSpacing/>
    </w:pPr>
  </w:style>
  <w:style w:type="character" w:styleId="IntenseEmphasis">
    <w:name w:val="Intense Emphasis"/>
    <w:basedOn w:val="DefaultParagraphFont"/>
    <w:uiPriority w:val="21"/>
    <w:qFormat/>
    <w:rsid w:val="00175565"/>
    <w:rPr>
      <w:i/>
      <w:iCs/>
      <w:color w:val="0F4761" w:themeColor="accent1" w:themeShade="BF"/>
    </w:rPr>
  </w:style>
  <w:style w:type="paragraph" w:styleId="IntenseQuote">
    <w:name w:val="Intense Quote"/>
    <w:basedOn w:val="Normal"/>
    <w:next w:val="Normal"/>
    <w:link w:val="IntenseQuoteChar"/>
    <w:uiPriority w:val="30"/>
    <w:qFormat/>
    <w:rsid w:val="00175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565"/>
    <w:rPr>
      <w:i/>
      <w:iCs/>
      <w:color w:val="0F4761" w:themeColor="accent1" w:themeShade="BF"/>
    </w:rPr>
  </w:style>
  <w:style w:type="character" w:styleId="IntenseReference">
    <w:name w:val="Intense Reference"/>
    <w:basedOn w:val="DefaultParagraphFont"/>
    <w:uiPriority w:val="32"/>
    <w:qFormat/>
    <w:rsid w:val="001755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tosanglobal.com/wp-content/uploads/2025/08/Promecens-Chitosan-Hydrochloride_COA.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itosanglobal.com/water-soluble-chitosan-supplier/" TargetMode="External"/><Relationship Id="rId12" Type="http://schemas.openxmlformats.org/officeDocument/2006/relationships/hyperlink" Target="https://pfas-1.itrcweb.org/12-treatment-technolog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itosanglobal.com/product/chitosan-oligosaccharide-hydrochloride-mushroom/" TargetMode="External"/><Relationship Id="rId11" Type="http://schemas.openxmlformats.org/officeDocument/2006/relationships/hyperlink" Target="https://pubmed.ncbi.nlm.nih.gov/39848485/" TargetMode="External"/><Relationship Id="rId5" Type="http://schemas.openxmlformats.org/officeDocument/2006/relationships/hyperlink" Target="https://chitosanglobal.com/" TargetMode="External"/><Relationship Id="rId10" Type="http://schemas.openxmlformats.org/officeDocument/2006/relationships/hyperlink" Target="https://pubmed.ncbi.nlm.nih.gov/38588893/" TargetMode="External"/><Relationship Id="rId4" Type="http://schemas.openxmlformats.org/officeDocument/2006/relationships/webSettings" Target="webSettings.xml"/><Relationship Id="rId9" Type="http://schemas.openxmlformats.org/officeDocument/2006/relationships/hyperlink" Target="https://pmc.ncbi.nlm.nih.gov/articles/PMC1284105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2194</Words>
  <Characters>14684</Characters>
  <Application>Microsoft Office Word</Application>
  <DocSecurity>0</DocSecurity>
  <Lines>473</Lines>
  <Paragraphs>482</Paragraphs>
  <ScaleCrop>false</ScaleCrop>
  <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nice</dc:creator>
  <cp:keywords/>
  <dc:description/>
  <cp:lastModifiedBy>steve nice</cp:lastModifiedBy>
  <cp:revision>1</cp:revision>
  <dcterms:created xsi:type="dcterms:W3CDTF">2026-04-29T22:36:00Z</dcterms:created>
  <dcterms:modified xsi:type="dcterms:W3CDTF">2026-04-29T22:40:00Z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149e1fbd-033d-4c59-8c98-29d055840117</vt:lpwstr>
  </property>
</Properties>
</file>