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78C9" w14:textId="77777777" w:rsidR="000F6918" w:rsidRDefault="004D59C4">
      <w:pPr>
        <w:spacing w:after="701" w:line="259" w:lineRule="auto"/>
        <w:ind w:left="0" w:firstLine="0"/>
      </w:pPr>
      <w:r>
        <w:t xml:space="preserve"> </w:t>
      </w:r>
    </w:p>
    <w:p w14:paraId="3691A551" w14:textId="77777777" w:rsidR="000F6918" w:rsidRDefault="004D59C4">
      <w:pPr>
        <w:spacing w:after="0" w:line="259" w:lineRule="auto"/>
        <w:ind w:left="2136" w:firstLine="0"/>
      </w:pPr>
      <w:r>
        <w:rPr>
          <w:b/>
          <w:color w:val="1A5276"/>
          <w:sz w:val="56"/>
        </w:rPr>
        <w:t>CHITOSAN GLOBAL</w:t>
      </w:r>
      <w:r>
        <w:t xml:space="preserve"> </w:t>
      </w:r>
    </w:p>
    <w:p w14:paraId="0C7FD64B" w14:textId="77777777" w:rsidR="000F6918" w:rsidRDefault="004D59C4">
      <w:pPr>
        <w:spacing w:after="0" w:line="259" w:lineRule="auto"/>
        <w:ind w:left="60" w:firstLine="0"/>
        <w:jc w:val="center"/>
      </w:pPr>
      <w:r>
        <w:t xml:space="preserve"> </w:t>
      </w:r>
    </w:p>
    <w:p w14:paraId="1F4CA1C3" w14:textId="77777777" w:rsidR="000F6918" w:rsidRDefault="004D59C4">
      <w:pPr>
        <w:spacing w:after="372" w:line="259" w:lineRule="auto"/>
        <w:ind w:left="-29" w:right="-27" w:firstLine="0"/>
      </w:pPr>
      <w:r>
        <w:rPr>
          <w:rFonts w:ascii="Calibri" w:eastAsia="Calibri" w:hAnsi="Calibri" w:cs="Calibri"/>
          <w:noProof/>
        </w:rPr>
        <mc:AlternateContent>
          <mc:Choice Requires="wpg">
            <w:drawing>
              <wp:inline distT="0" distB="0" distL="0" distR="0" wp14:anchorId="6E2B1225" wp14:editId="056419C5">
                <wp:extent cx="6209665" cy="12192"/>
                <wp:effectExtent l="0" t="0" r="0" b="0"/>
                <wp:docPr id="15236" name="Group 15236"/>
                <wp:cNvGraphicFramePr/>
                <a:graphic xmlns:a="http://schemas.openxmlformats.org/drawingml/2006/main">
                  <a:graphicData uri="http://schemas.microsoft.com/office/word/2010/wordprocessingGroup">
                    <wpg:wgp>
                      <wpg:cNvGrpSpPr/>
                      <wpg:grpSpPr>
                        <a:xfrm>
                          <a:off x="0" y="0"/>
                          <a:ext cx="6209665" cy="12192"/>
                          <a:chOff x="0" y="0"/>
                          <a:chExt cx="6209665" cy="12192"/>
                        </a:xfrm>
                      </wpg:grpSpPr>
                      <wps:wsp>
                        <wps:cNvPr id="19131" name="Shape 19131"/>
                        <wps:cNvSpPr/>
                        <wps:spPr>
                          <a:xfrm>
                            <a:off x="0" y="0"/>
                            <a:ext cx="6209665" cy="12192"/>
                          </a:xfrm>
                          <a:custGeom>
                            <a:avLst/>
                            <a:gdLst/>
                            <a:ahLst/>
                            <a:cxnLst/>
                            <a:rect l="0" t="0" r="0" b="0"/>
                            <a:pathLst>
                              <a:path w="6209665" h="12192">
                                <a:moveTo>
                                  <a:pt x="0" y="0"/>
                                </a:moveTo>
                                <a:lnTo>
                                  <a:pt x="6209665" y="0"/>
                                </a:lnTo>
                                <a:lnTo>
                                  <a:pt x="6209665" y="12192"/>
                                </a:lnTo>
                                <a:lnTo>
                                  <a:pt x="0" y="12192"/>
                                </a:lnTo>
                                <a:lnTo>
                                  <a:pt x="0" y="0"/>
                                </a:lnTo>
                              </a:path>
                            </a:pathLst>
                          </a:custGeom>
                          <a:ln w="0" cap="flat">
                            <a:miter lim="127000"/>
                          </a:ln>
                        </wps:spPr>
                        <wps:style>
                          <a:lnRef idx="0">
                            <a:srgbClr val="000000">
                              <a:alpha val="0"/>
                            </a:srgbClr>
                          </a:lnRef>
                          <a:fillRef idx="1">
                            <a:srgbClr val="2E86C1"/>
                          </a:fillRef>
                          <a:effectRef idx="0">
                            <a:scrgbClr r="0" g="0" b="0"/>
                          </a:effectRef>
                          <a:fontRef idx="none"/>
                        </wps:style>
                        <wps:bodyPr/>
                      </wps:wsp>
                    </wpg:wgp>
                  </a:graphicData>
                </a:graphic>
              </wp:inline>
            </w:drawing>
          </mc:Choice>
          <mc:Fallback xmlns:a="http://schemas.openxmlformats.org/drawingml/2006/main">
            <w:pict>
              <v:group id="Group 15236" style="width:488.95pt;height:0.960022pt;mso-position-horizontal-relative:char;mso-position-vertical-relative:line" coordsize="62096,121">
                <v:shape id="Shape 19132" style="position:absolute;width:62096;height:121;left:0;top:0;" coordsize="6209665,12192" path="m0,0l6209665,0l6209665,12192l0,12192l0,0">
                  <v:stroke weight="0pt" endcap="flat" joinstyle="miter" miterlimit="10" on="false" color="#000000" opacity="0"/>
                  <v:fill on="true" color="#2e86c1"/>
                </v:shape>
              </v:group>
            </w:pict>
          </mc:Fallback>
        </mc:AlternateContent>
      </w:r>
    </w:p>
    <w:p w14:paraId="59E67740" w14:textId="77777777" w:rsidR="000F6918" w:rsidRDefault="004D59C4">
      <w:pPr>
        <w:spacing w:after="148" w:line="259" w:lineRule="auto"/>
        <w:ind w:left="0" w:right="5" w:firstLine="0"/>
        <w:jc w:val="center"/>
      </w:pPr>
      <w:r>
        <w:rPr>
          <w:color w:val="2E86C1"/>
          <w:sz w:val="32"/>
        </w:rPr>
        <w:t>Technical Report</w:t>
      </w:r>
      <w:r>
        <w:rPr>
          <w:sz w:val="32"/>
          <w:vertAlign w:val="subscript"/>
        </w:rPr>
        <w:t xml:space="preserve"> </w:t>
      </w:r>
    </w:p>
    <w:p w14:paraId="7979C20A" w14:textId="77777777" w:rsidR="000F6918" w:rsidRDefault="004D59C4">
      <w:pPr>
        <w:pStyle w:val="Heading1"/>
      </w:pPr>
      <w:r>
        <w:t>Chitosan Inclusion Rate in Swine Diets</w:t>
      </w:r>
      <w:r>
        <w:rPr>
          <w:b w:val="0"/>
          <w:color w:val="000000"/>
          <w:sz w:val="22"/>
        </w:rPr>
        <w:t xml:space="preserve"> </w:t>
      </w:r>
    </w:p>
    <w:p w14:paraId="4F15FA22" w14:textId="77777777" w:rsidR="000F6918" w:rsidRDefault="004D59C4">
      <w:pPr>
        <w:spacing w:after="363" w:line="259" w:lineRule="auto"/>
        <w:ind w:left="1397" w:firstLine="0"/>
      </w:pPr>
      <w:r>
        <w:rPr>
          <w:i/>
          <w:color w:val="555555"/>
          <w:sz w:val="24"/>
        </w:rPr>
        <w:t>Evidence-Based Recommendations for Optimal Supplementation</w:t>
      </w:r>
      <w:r>
        <w:t xml:space="preserve"> </w:t>
      </w:r>
    </w:p>
    <w:p w14:paraId="1929D7F9" w14:textId="77777777" w:rsidR="000F6918" w:rsidRDefault="004D59C4">
      <w:pPr>
        <w:spacing w:after="0" w:line="259" w:lineRule="auto"/>
        <w:ind w:left="0" w:firstLine="0"/>
      </w:pPr>
      <w:r>
        <w:t xml:space="preserve"> </w:t>
      </w:r>
    </w:p>
    <w:tbl>
      <w:tblPr>
        <w:tblStyle w:val="TableGrid"/>
        <w:tblW w:w="7199" w:type="dxa"/>
        <w:tblInd w:w="0" w:type="dxa"/>
        <w:tblCellMar>
          <w:top w:w="43" w:type="dxa"/>
          <w:left w:w="304" w:type="dxa"/>
          <w:bottom w:w="0" w:type="dxa"/>
          <w:right w:w="245" w:type="dxa"/>
        </w:tblCellMar>
        <w:tblLook w:val="04A0" w:firstRow="1" w:lastRow="0" w:firstColumn="1" w:lastColumn="0" w:noHBand="0" w:noVBand="1"/>
      </w:tblPr>
      <w:tblGrid>
        <w:gridCol w:w="7199"/>
      </w:tblGrid>
      <w:tr w:rsidR="000F6918" w14:paraId="7BA3F77A" w14:textId="77777777">
        <w:trPr>
          <w:trHeight w:val="162"/>
        </w:trPr>
        <w:tc>
          <w:tcPr>
            <w:tcW w:w="7199" w:type="dxa"/>
            <w:tcBorders>
              <w:top w:val="single" w:sz="2" w:space="0" w:color="1A5276"/>
              <w:left w:val="single" w:sz="2" w:space="0" w:color="1A5276"/>
              <w:bottom w:val="nil"/>
              <w:right w:val="single" w:sz="2" w:space="0" w:color="1A5276"/>
            </w:tcBorders>
            <w:shd w:val="clear" w:color="auto" w:fill="EAF2FB"/>
          </w:tcPr>
          <w:p w14:paraId="754F3B54" w14:textId="77777777" w:rsidR="000F6918" w:rsidRDefault="000F6918">
            <w:pPr>
              <w:spacing w:after="160" w:line="259" w:lineRule="auto"/>
              <w:ind w:left="0" w:firstLine="0"/>
            </w:pPr>
          </w:p>
        </w:tc>
      </w:tr>
      <w:tr w:rsidR="000F6918" w14:paraId="317FDFB3" w14:textId="77777777">
        <w:trPr>
          <w:trHeight w:val="1354"/>
        </w:trPr>
        <w:tc>
          <w:tcPr>
            <w:tcW w:w="7199" w:type="dxa"/>
            <w:tcBorders>
              <w:top w:val="nil"/>
              <w:left w:val="single" w:sz="2" w:space="0" w:color="1A5276"/>
              <w:bottom w:val="nil"/>
              <w:right w:val="single" w:sz="2" w:space="0" w:color="1A5276"/>
            </w:tcBorders>
            <w:shd w:val="clear" w:color="auto" w:fill="EAF2FB"/>
          </w:tcPr>
          <w:p w14:paraId="5C5A0E29" w14:textId="77777777" w:rsidR="000F6918" w:rsidRDefault="004D59C4">
            <w:pPr>
              <w:spacing w:after="0" w:line="259" w:lineRule="auto"/>
              <w:ind w:left="0" w:right="59" w:firstLine="0"/>
              <w:jc w:val="center"/>
            </w:pPr>
            <w:r>
              <w:rPr>
                <w:b/>
                <w:color w:val="1A5276"/>
              </w:rPr>
              <w:t>Product: Chitosan 60 FG – Chitosan Oligosaccharide Lactate</w:t>
            </w:r>
            <w:r>
              <w:t xml:space="preserve"> </w:t>
            </w:r>
          </w:p>
          <w:p w14:paraId="05DE2B11" w14:textId="77777777" w:rsidR="000F6918" w:rsidRDefault="004D59C4">
            <w:pPr>
              <w:spacing w:after="13" w:line="244" w:lineRule="auto"/>
              <w:ind w:left="209" w:hanging="209"/>
              <w:jc w:val="both"/>
            </w:pPr>
            <w:r>
              <w:rPr>
                <w:color w:val="333333"/>
                <w:sz w:val="20"/>
              </w:rPr>
              <w:t xml:space="preserve">Manufacturer: Promecens Entosystems Pvt. Ltd.  </w:t>
            </w:r>
            <w:proofErr w:type="gramStart"/>
            <w:r>
              <w:rPr>
                <w:color w:val="333333"/>
                <w:sz w:val="20"/>
              </w:rPr>
              <w:t>|  CAS</w:t>
            </w:r>
            <w:proofErr w:type="gramEnd"/>
            <w:r>
              <w:rPr>
                <w:color w:val="333333"/>
                <w:sz w:val="20"/>
              </w:rPr>
              <w:t xml:space="preserve"> No.: 148411-57-8</w:t>
            </w:r>
            <w:r>
              <w:t xml:space="preserve"> </w:t>
            </w:r>
            <w:r>
              <w:rPr>
                <w:color w:val="333333"/>
                <w:sz w:val="20"/>
              </w:rPr>
              <w:t>Deacetylation: 98.67</w:t>
            </w:r>
            <w:proofErr w:type="gramStart"/>
            <w:r>
              <w:rPr>
                <w:color w:val="333333"/>
                <w:sz w:val="20"/>
              </w:rPr>
              <w:t>%  |</w:t>
            </w:r>
            <w:proofErr w:type="gramEnd"/>
            <w:r>
              <w:rPr>
                <w:color w:val="333333"/>
                <w:sz w:val="20"/>
              </w:rPr>
              <w:t xml:space="preserve">  Purity: 99.13</w:t>
            </w:r>
            <w:proofErr w:type="gramStart"/>
            <w:r>
              <w:rPr>
                <w:color w:val="333333"/>
                <w:sz w:val="20"/>
              </w:rPr>
              <w:t>%  |</w:t>
            </w:r>
            <w:proofErr w:type="gramEnd"/>
            <w:r>
              <w:rPr>
                <w:color w:val="333333"/>
                <w:sz w:val="20"/>
              </w:rPr>
              <w:t xml:space="preserve">  pH: </w:t>
            </w:r>
            <w:proofErr w:type="gramStart"/>
            <w:r>
              <w:rPr>
                <w:color w:val="333333"/>
                <w:sz w:val="20"/>
              </w:rPr>
              <w:t>4.48  |</w:t>
            </w:r>
            <w:proofErr w:type="gramEnd"/>
            <w:r>
              <w:rPr>
                <w:color w:val="333333"/>
                <w:sz w:val="20"/>
              </w:rPr>
              <w:t xml:space="preserve">  Zeta Potential: </w:t>
            </w:r>
          </w:p>
          <w:p w14:paraId="3726DB6E" w14:textId="77777777" w:rsidR="000F6918" w:rsidRDefault="004D59C4">
            <w:pPr>
              <w:spacing w:after="19" w:line="250" w:lineRule="auto"/>
              <w:ind w:left="202" w:right="265" w:firstLine="2607"/>
              <w:jc w:val="both"/>
            </w:pPr>
            <w:r>
              <w:rPr>
                <w:color w:val="333333"/>
                <w:sz w:val="20"/>
              </w:rPr>
              <w:t>+59.77 mV</w:t>
            </w:r>
            <w:r>
              <w:t xml:space="preserve"> </w:t>
            </w:r>
            <w:r>
              <w:rPr>
                <w:i/>
                <w:color w:val="666666"/>
                <w:sz w:val="18"/>
              </w:rPr>
              <w:t>Batch: PRM/CHT-60FG/01/01-</w:t>
            </w:r>
            <w:proofErr w:type="gramStart"/>
            <w:r>
              <w:rPr>
                <w:i/>
                <w:color w:val="666666"/>
                <w:sz w:val="18"/>
              </w:rPr>
              <w:t>2026  |</w:t>
            </w:r>
            <w:proofErr w:type="gramEnd"/>
            <w:r>
              <w:rPr>
                <w:i/>
                <w:color w:val="666666"/>
                <w:sz w:val="18"/>
              </w:rPr>
              <w:t xml:space="preserve">  Manufactured: January </w:t>
            </w:r>
            <w:proofErr w:type="gramStart"/>
            <w:r>
              <w:rPr>
                <w:i/>
                <w:color w:val="666666"/>
                <w:sz w:val="18"/>
              </w:rPr>
              <w:t>2026  |</w:t>
            </w:r>
            <w:proofErr w:type="gramEnd"/>
            <w:r>
              <w:rPr>
                <w:i/>
                <w:color w:val="666666"/>
                <w:sz w:val="18"/>
              </w:rPr>
              <w:t xml:space="preserve">  Expiry: </w:t>
            </w:r>
          </w:p>
          <w:p w14:paraId="68BCE3E6" w14:textId="77777777" w:rsidR="000F6918" w:rsidRDefault="004D59C4">
            <w:pPr>
              <w:spacing w:after="0" w:line="259" w:lineRule="auto"/>
              <w:ind w:left="0" w:right="58" w:firstLine="0"/>
              <w:jc w:val="center"/>
            </w:pPr>
            <w:r>
              <w:rPr>
                <w:i/>
                <w:color w:val="666666"/>
                <w:sz w:val="18"/>
              </w:rPr>
              <w:t>December 2028</w:t>
            </w:r>
            <w:r>
              <w:t xml:space="preserve"> </w:t>
            </w:r>
          </w:p>
        </w:tc>
      </w:tr>
      <w:tr w:rsidR="000F6918" w14:paraId="7E01192B" w14:textId="77777777">
        <w:trPr>
          <w:trHeight w:val="162"/>
        </w:trPr>
        <w:tc>
          <w:tcPr>
            <w:tcW w:w="7199" w:type="dxa"/>
            <w:tcBorders>
              <w:top w:val="nil"/>
              <w:left w:val="single" w:sz="2" w:space="0" w:color="1A5276"/>
              <w:bottom w:val="single" w:sz="2" w:space="0" w:color="1A5276"/>
              <w:right w:val="single" w:sz="2" w:space="0" w:color="1A5276"/>
            </w:tcBorders>
            <w:shd w:val="clear" w:color="auto" w:fill="EAF2FB"/>
          </w:tcPr>
          <w:p w14:paraId="11B59425" w14:textId="77777777" w:rsidR="000F6918" w:rsidRDefault="000F6918">
            <w:pPr>
              <w:spacing w:after="160" w:line="259" w:lineRule="auto"/>
              <w:ind w:left="0" w:firstLine="0"/>
            </w:pPr>
          </w:p>
        </w:tc>
      </w:tr>
    </w:tbl>
    <w:p w14:paraId="0B2F7CA3" w14:textId="77777777" w:rsidR="000F6918" w:rsidRDefault="004D59C4">
      <w:pPr>
        <w:spacing w:after="29" w:line="259" w:lineRule="auto"/>
        <w:ind w:left="0" w:firstLine="0"/>
      </w:pPr>
      <w:r>
        <w:t xml:space="preserve"> </w:t>
      </w:r>
    </w:p>
    <w:p w14:paraId="37CD2FFD" w14:textId="77777777" w:rsidR="000F6918" w:rsidRDefault="004D59C4">
      <w:pPr>
        <w:spacing w:after="88" w:line="259" w:lineRule="auto"/>
        <w:ind w:left="-29" w:right="-27" w:firstLine="0"/>
      </w:pPr>
      <w:r>
        <w:rPr>
          <w:rFonts w:ascii="Calibri" w:eastAsia="Calibri" w:hAnsi="Calibri" w:cs="Calibri"/>
          <w:noProof/>
        </w:rPr>
        <mc:AlternateContent>
          <mc:Choice Requires="wpg">
            <w:drawing>
              <wp:inline distT="0" distB="0" distL="0" distR="0" wp14:anchorId="6C3D45A6" wp14:editId="05A5DC28">
                <wp:extent cx="6209665" cy="9144"/>
                <wp:effectExtent l="0" t="0" r="0" b="0"/>
                <wp:docPr id="15238" name="Group 15238"/>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33" name="Shape 19133"/>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2E86C1"/>
                          </a:fillRef>
                          <a:effectRef idx="0">
                            <a:scrgbClr r="0" g="0" b="0"/>
                          </a:effectRef>
                          <a:fontRef idx="none"/>
                        </wps:style>
                        <wps:bodyPr/>
                      </wps:wsp>
                    </wpg:wgp>
                  </a:graphicData>
                </a:graphic>
              </wp:inline>
            </w:drawing>
          </mc:Choice>
          <mc:Fallback xmlns:a="http://schemas.openxmlformats.org/drawingml/2006/main">
            <w:pict>
              <v:group id="Group 15238" style="width:488.95pt;height:0.720001pt;mso-position-horizontal-relative:char;mso-position-vertical-relative:line" coordsize="62096,91">
                <v:shape id="Shape 19134" style="position:absolute;width:62096;height:91;left:0;top:0;" coordsize="6209665,9144" path="m0,0l6209665,0l6209665,9144l0,9144l0,0">
                  <v:stroke weight="0pt" endcap="flat" joinstyle="miter" miterlimit="10" on="false" color="#000000" opacity="0"/>
                  <v:fill on="true" color="#2e86c1"/>
                </v:shape>
              </v:group>
            </w:pict>
          </mc:Fallback>
        </mc:AlternateContent>
      </w:r>
    </w:p>
    <w:p w14:paraId="55B6CE48" w14:textId="77777777" w:rsidR="000F6918" w:rsidRDefault="004D59C4">
      <w:pPr>
        <w:spacing w:after="0" w:line="259" w:lineRule="auto"/>
        <w:ind w:left="0" w:right="998" w:firstLine="0"/>
        <w:jc w:val="right"/>
      </w:pPr>
      <w:r>
        <w:rPr>
          <w:b/>
          <w:color w:val="1A5276"/>
          <w:sz w:val="32"/>
        </w:rPr>
        <w:t>RECOMMENDED INCLUSION: 560 – 565 mg/kg diet</w:t>
      </w:r>
      <w:r>
        <w:rPr>
          <w:sz w:val="32"/>
          <w:vertAlign w:val="subscript"/>
        </w:rPr>
        <w:t xml:space="preserve"> </w:t>
      </w:r>
    </w:p>
    <w:p w14:paraId="61148409" w14:textId="77777777" w:rsidR="000F6918" w:rsidRDefault="004D59C4">
      <w:pPr>
        <w:spacing w:after="38" w:line="259" w:lineRule="auto"/>
        <w:ind w:left="0" w:right="6" w:firstLine="0"/>
        <w:jc w:val="center"/>
      </w:pPr>
      <w:r>
        <w:rPr>
          <w:color w:val="888888"/>
          <w:sz w:val="20"/>
        </w:rPr>
        <w:t xml:space="preserve">Prepared by Chitosan </w:t>
      </w:r>
      <w:proofErr w:type="gramStart"/>
      <w:r>
        <w:rPr>
          <w:color w:val="888888"/>
          <w:sz w:val="20"/>
        </w:rPr>
        <w:t>Global  |</w:t>
      </w:r>
      <w:proofErr w:type="gramEnd"/>
      <w:r>
        <w:rPr>
          <w:color w:val="888888"/>
          <w:sz w:val="20"/>
        </w:rPr>
        <w:t xml:space="preserve">  May 2026</w:t>
      </w:r>
      <w:r>
        <w:t xml:space="preserve"> </w:t>
      </w:r>
    </w:p>
    <w:p w14:paraId="6B1A2BFA" w14:textId="77777777" w:rsidR="000F6918" w:rsidRDefault="004D59C4">
      <w:pPr>
        <w:spacing w:after="0" w:line="259" w:lineRule="auto"/>
        <w:ind w:left="0" w:firstLine="0"/>
      </w:pPr>
      <w:r>
        <w:t xml:space="preserve"> </w:t>
      </w:r>
      <w:r>
        <w:tab/>
        <w:t xml:space="preserve"> </w:t>
      </w:r>
    </w:p>
    <w:p w14:paraId="6616066F" w14:textId="77777777" w:rsidR="000F6918" w:rsidRDefault="004D59C4">
      <w:pPr>
        <w:pStyle w:val="Heading2"/>
        <w:ind w:left="-5" w:right="0"/>
      </w:pPr>
      <w:r>
        <w:t>1. Executive Summary</w:t>
      </w:r>
      <w:r>
        <w:rPr>
          <w:b w:val="0"/>
          <w:color w:val="2E74B5"/>
        </w:rPr>
        <w:t xml:space="preserve"> </w:t>
      </w:r>
    </w:p>
    <w:p w14:paraId="7601D0D3"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46FB9EE8" wp14:editId="3E0C02D9">
                <wp:extent cx="6209665" cy="9144"/>
                <wp:effectExtent l="0" t="0" r="0" b="0"/>
                <wp:docPr id="16080" name="Group 16080"/>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35" name="Shape 19135"/>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6080" style="width:488.95pt;height:0.719971pt;mso-position-horizontal-relative:char;mso-position-vertical-relative:line" coordsize="62096,91">
                <v:shape id="Shape 19136"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3EB51C33" w14:textId="77777777" w:rsidR="000F6918" w:rsidRDefault="004D59C4">
      <w:r>
        <w:t>This technical report presents a comprehensive review of published scientific literature and product specifications to establish an evidence-based dietary inclusion rate for chitosan in commercial swine production. Based on published dose-response data, intestinal morphology studies, growth performance trials, and microbiota research, Chitosan Global recommends an inclusion rate of 560 to 565 mg/kg of complete swine diet when using Chitosan 60 FG (Chitosan Oligosaccharide Lactate, CAS 148411-57-8) from Prom</w:t>
      </w:r>
      <w:r>
        <w:t xml:space="preserve">ecens Entosystems Private Limited. </w:t>
      </w:r>
    </w:p>
    <w:p w14:paraId="45079995" w14:textId="77777777" w:rsidR="000F6918" w:rsidRDefault="004D59C4">
      <w:pPr>
        <w:spacing w:after="0" w:line="259" w:lineRule="auto"/>
        <w:ind w:left="0" w:firstLine="0"/>
      </w:pPr>
      <w:r>
        <w:t xml:space="preserve"> </w:t>
      </w:r>
    </w:p>
    <w:tbl>
      <w:tblPr>
        <w:tblStyle w:val="TableGrid"/>
        <w:tblW w:w="9360" w:type="dxa"/>
        <w:tblInd w:w="0" w:type="dxa"/>
        <w:tblCellMar>
          <w:top w:w="91" w:type="dxa"/>
          <w:left w:w="120" w:type="dxa"/>
          <w:bottom w:w="0" w:type="dxa"/>
          <w:right w:w="113" w:type="dxa"/>
        </w:tblCellMar>
        <w:tblLook w:val="04A0" w:firstRow="1" w:lastRow="0" w:firstColumn="1" w:lastColumn="0" w:noHBand="0" w:noVBand="1"/>
      </w:tblPr>
      <w:tblGrid>
        <w:gridCol w:w="3121"/>
        <w:gridCol w:w="6239"/>
      </w:tblGrid>
      <w:tr w:rsidR="000F6918" w14:paraId="1D20D205" w14:textId="77777777">
        <w:trPr>
          <w:trHeight w:val="361"/>
        </w:trPr>
        <w:tc>
          <w:tcPr>
            <w:tcW w:w="3121" w:type="dxa"/>
            <w:tcBorders>
              <w:top w:val="single" w:sz="33" w:space="0" w:color="1A5276"/>
              <w:left w:val="single" w:sz="2" w:space="0" w:color="1A5276"/>
              <w:bottom w:val="single" w:sz="32" w:space="0" w:color="FFFFFF"/>
              <w:right w:val="single" w:sz="2" w:space="0" w:color="1A5276"/>
            </w:tcBorders>
            <w:shd w:val="clear" w:color="auto" w:fill="1A5276"/>
          </w:tcPr>
          <w:p w14:paraId="4F9BC6CA" w14:textId="77777777" w:rsidR="000F6918" w:rsidRDefault="004D59C4">
            <w:pPr>
              <w:spacing w:after="0" w:line="259" w:lineRule="auto"/>
              <w:ind w:left="0" w:right="10" w:firstLine="0"/>
              <w:jc w:val="center"/>
            </w:pPr>
            <w:r>
              <w:rPr>
                <w:b/>
                <w:color w:val="FFFFFF"/>
                <w:sz w:val="20"/>
              </w:rPr>
              <w:t>Parameter</w:t>
            </w:r>
            <w:r>
              <w:t xml:space="preserve"> </w:t>
            </w:r>
          </w:p>
        </w:tc>
        <w:tc>
          <w:tcPr>
            <w:tcW w:w="6240" w:type="dxa"/>
            <w:tcBorders>
              <w:top w:val="single" w:sz="33" w:space="0" w:color="1A5276"/>
              <w:left w:val="single" w:sz="2" w:space="0" w:color="1A5276"/>
              <w:bottom w:val="single" w:sz="32" w:space="0" w:color="FFFFFF"/>
              <w:right w:val="single" w:sz="2" w:space="0" w:color="1A5276"/>
            </w:tcBorders>
            <w:shd w:val="clear" w:color="auto" w:fill="1A5276"/>
          </w:tcPr>
          <w:p w14:paraId="26260F2C" w14:textId="77777777" w:rsidR="000F6918" w:rsidRDefault="004D59C4">
            <w:pPr>
              <w:spacing w:after="0" w:line="259" w:lineRule="auto"/>
              <w:ind w:left="0" w:right="9" w:firstLine="0"/>
              <w:jc w:val="center"/>
            </w:pPr>
            <w:r>
              <w:rPr>
                <w:b/>
                <w:color w:val="FFFFFF"/>
                <w:sz w:val="20"/>
              </w:rPr>
              <w:t>Value</w:t>
            </w:r>
            <w:r>
              <w:t xml:space="preserve"> </w:t>
            </w:r>
          </w:p>
        </w:tc>
      </w:tr>
      <w:tr w:rsidR="000F6918" w14:paraId="5CACE8D3" w14:textId="77777777">
        <w:trPr>
          <w:trHeight w:val="421"/>
        </w:trPr>
        <w:tc>
          <w:tcPr>
            <w:tcW w:w="3121" w:type="dxa"/>
            <w:tcBorders>
              <w:top w:val="single" w:sz="32" w:space="0" w:color="FFFFFF"/>
              <w:left w:val="single" w:sz="2" w:space="0" w:color="CCCCCC"/>
              <w:bottom w:val="single" w:sz="32" w:space="0" w:color="EAF2FB"/>
              <w:right w:val="single" w:sz="2" w:space="0" w:color="CCCCCC"/>
            </w:tcBorders>
            <w:vAlign w:val="center"/>
          </w:tcPr>
          <w:p w14:paraId="0F25C4CA" w14:textId="77777777" w:rsidR="000F6918" w:rsidRDefault="004D59C4">
            <w:pPr>
              <w:spacing w:after="0" w:line="259" w:lineRule="auto"/>
              <w:ind w:left="0" w:firstLine="0"/>
            </w:pPr>
            <w:r>
              <w:rPr>
                <w:sz w:val="20"/>
              </w:rPr>
              <w:t>Recommended Inclusion</w:t>
            </w:r>
            <w:r>
              <w:t xml:space="preserve"> </w:t>
            </w:r>
          </w:p>
        </w:tc>
        <w:tc>
          <w:tcPr>
            <w:tcW w:w="6240" w:type="dxa"/>
            <w:tcBorders>
              <w:top w:val="single" w:sz="32" w:space="0" w:color="FFFFFF"/>
              <w:left w:val="single" w:sz="2" w:space="0" w:color="CCCCCC"/>
              <w:bottom w:val="single" w:sz="32" w:space="0" w:color="EAF2FB"/>
              <w:right w:val="single" w:sz="2" w:space="0" w:color="CCCCCC"/>
            </w:tcBorders>
            <w:vAlign w:val="center"/>
          </w:tcPr>
          <w:p w14:paraId="36FB2AFC" w14:textId="77777777" w:rsidR="000F6918" w:rsidRDefault="004D59C4">
            <w:pPr>
              <w:spacing w:after="0" w:line="259" w:lineRule="auto"/>
              <w:ind w:left="0" w:firstLine="0"/>
            </w:pPr>
            <w:r>
              <w:rPr>
                <w:sz w:val="20"/>
              </w:rPr>
              <w:t xml:space="preserve">560 </w:t>
            </w:r>
            <w:r>
              <w:rPr>
                <w:sz w:val="20"/>
              </w:rPr>
              <w:t>–</w:t>
            </w:r>
            <w:r>
              <w:rPr>
                <w:sz w:val="20"/>
              </w:rPr>
              <w:t xml:space="preserve"> 565 mg/kg complete diet</w:t>
            </w:r>
            <w:r>
              <w:t xml:space="preserve"> </w:t>
            </w:r>
          </w:p>
        </w:tc>
      </w:tr>
      <w:tr w:rsidR="000F6918" w14:paraId="163B6A29" w14:textId="77777777">
        <w:trPr>
          <w:trHeight w:val="364"/>
        </w:trPr>
        <w:tc>
          <w:tcPr>
            <w:tcW w:w="3121" w:type="dxa"/>
            <w:tcBorders>
              <w:top w:val="single" w:sz="32" w:space="0" w:color="EAF2FB"/>
              <w:left w:val="single" w:sz="2" w:space="0" w:color="CCCCCC"/>
              <w:bottom w:val="single" w:sz="32" w:space="0" w:color="FFFFFF"/>
              <w:right w:val="single" w:sz="2" w:space="0" w:color="CCCCCC"/>
            </w:tcBorders>
            <w:shd w:val="clear" w:color="auto" w:fill="EAF2FB"/>
          </w:tcPr>
          <w:p w14:paraId="706CDA57" w14:textId="77777777" w:rsidR="000F6918" w:rsidRDefault="004D59C4">
            <w:pPr>
              <w:spacing w:after="0" w:line="259" w:lineRule="auto"/>
              <w:ind w:left="0" w:firstLine="0"/>
            </w:pPr>
            <w:r>
              <w:rPr>
                <w:sz w:val="20"/>
              </w:rPr>
              <w:t>Product</w:t>
            </w:r>
            <w:r>
              <w:t xml:space="preserve"> </w:t>
            </w:r>
          </w:p>
        </w:tc>
        <w:tc>
          <w:tcPr>
            <w:tcW w:w="6240" w:type="dxa"/>
            <w:tcBorders>
              <w:top w:val="single" w:sz="32" w:space="0" w:color="EAF2FB"/>
              <w:left w:val="single" w:sz="2" w:space="0" w:color="CCCCCC"/>
              <w:bottom w:val="single" w:sz="32" w:space="0" w:color="FFFFFF"/>
              <w:right w:val="single" w:sz="2" w:space="0" w:color="CCCCCC"/>
            </w:tcBorders>
            <w:shd w:val="clear" w:color="auto" w:fill="EAF2FB"/>
          </w:tcPr>
          <w:p w14:paraId="1B0126D5" w14:textId="77777777" w:rsidR="000F6918" w:rsidRDefault="004D59C4">
            <w:pPr>
              <w:spacing w:after="0" w:line="259" w:lineRule="auto"/>
              <w:ind w:left="0" w:firstLine="0"/>
            </w:pPr>
            <w:r>
              <w:rPr>
                <w:sz w:val="20"/>
              </w:rPr>
              <w:t>Chitosan 60 FG (Chitosan Oligosaccharide Lactate)</w:t>
            </w:r>
            <w:r>
              <w:t xml:space="preserve"> </w:t>
            </w:r>
          </w:p>
        </w:tc>
      </w:tr>
      <w:tr w:rsidR="000F6918" w14:paraId="38272C95" w14:textId="77777777">
        <w:trPr>
          <w:trHeight w:val="422"/>
        </w:trPr>
        <w:tc>
          <w:tcPr>
            <w:tcW w:w="3121" w:type="dxa"/>
            <w:tcBorders>
              <w:top w:val="single" w:sz="32" w:space="0" w:color="FFFFFF"/>
              <w:left w:val="single" w:sz="2" w:space="0" w:color="CCCCCC"/>
              <w:bottom w:val="single" w:sz="32" w:space="0" w:color="EAF2FB"/>
              <w:right w:val="single" w:sz="2" w:space="0" w:color="CCCCCC"/>
            </w:tcBorders>
            <w:vAlign w:val="center"/>
          </w:tcPr>
          <w:p w14:paraId="006463E4" w14:textId="77777777" w:rsidR="000F6918" w:rsidRDefault="004D59C4">
            <w:pPr>
              <w:spacing w:after="0" w:line="259" w:lineRule="auto"/>
              <w:ind w:left="0" w:firstLine="0"/>
            </w:pPr>
            <w:r>
              <w:rPr>
                <w:sz w:val="20"/>
              </w:rPr>
              <w:lastRenderedPageBreak/>
              <w:t>CAS Number</w:t>
            </w:r>
            <w:r>
              <w:t xml:space="preserve"> </w:t>
            </w:r>
          </w:p>
        </w:tc>
        <w:tc>
          <w:tcPr>
            <w:tcW w:w="6240" w:type="dxa"/>
            <w:tcBorders>
              <w:top w:val="single" w:sz="32" w:space="0" w:color="FFFFFF"/>
              <w:left w:val="single" w:sz="2" w:space="0" w:color="CCCCCC"/>
              <w:bottom w:val="single" w:sz="32" w:space="0" w:color="EAF2FB"/>
              <w:right w:val="single" w:sz="2" w:space="0" w:color="CCCCCC"/>
            </w:tcBorders>
            <w:vAlign w:val="center"/>
          </w:tcPr>
          <w:p w14:paraId="2658CFC3" w14:textId="77777777" w:rsidR="000F6918" w:rsidRDefault="004D59C4">
            <w:pPr>
              <w:spacing w:after="0" w:line="259" w:lineRule="auto"/>
              <w:ind w:left="0" w:firstLine="0"/>
            </w:pPr>
            <w:r>
              <w:rPr>
                <w:sz w:val="20"/>
              </w:rPr>
              <w:t>148411-57-8</w:t>
            </w:r>
            <w:r>
              <w:t xml:space="preserve"> </w:t>
            </w:r>
          </w:p>
        </w:tc>
      </w:tr>
      <w:tr w:rsidR="000F6918" w14:paraId="17BDFF15" w14:textId="77777777">
        <w:trPr>
          <w:trHeight w:val="361"/>
        </w:trPr>
        <w:tc>
          <w:tcPr>
            <w:tcW w:w="3121" w:type="dxa"/>
            <w:tcBorders>
              <w:top w:val="single" w:sz="32" w:space="0" w:color="EAF2FB"/>
              <w:left w:val="single" w:sz="2" w:space="0" w:color="CCCCCC"/>
              <w:bottom w:val="single" w:sz="32" w:space="0" w:color="FFFFFF"/>
              <w:right w:val="single" w:sz="2" w:space="0" w:color="CCCCCC"/>
            </w:tcBorders>
            <w:shd w:val="clear" w:color="auto" w:fill="EAF2FB"/>
          </w:tcPr>
          <w:p w14:paraId="51E60F98" w14:textId="77777777" w:rsidR="000F6918" w:rsidRDefault="004D59C4">
            <w:pPr>
              <w:spacing w:after="0" w:line="259" w:lineRule="auto"/>
              <w:ind w:left="0" w:firstLine="0"/>
            </w:pPr>
            <w:r>
              <w:rPr>
                <w:sz w:val="20"/>
              </w:rPr>
              <w:t>Purity</w:t>
            </w:r>
            <w:r>
              <w:t xml:space="preserve"> </w:t>
            </w:r>
          </w:p>
        </w:tc>
        <w:tc>
          <w:tcPr>
            <w:tcW w:w="6240" w:type="dxa"/>
            <w:tcBorders>
              <w:top w:val="single" w:sz="32" w:space="0" w:color="EAF2FB"/>
              <w:left w:val="single" w:sz="2" w:space="0" w:color="CCCCCC"/>
              <w:bottom w:val="single" w:sz="32" w:space="0" w:color="FFFFFF"/>
              <w:right w:val="single" w:sz="2" w:space="0" w:color="CCCCCC"/>
            </w:tcBorders>
            <w:shd w:val="clear" w:color="auto" w:fill="EAF2FB"/>
          </w:tcPr>
          <w:p w14:paraId="01F10E4B" w14:textId="77777777" w:rsidR="000F6918" w:rsidRDefault="004D59C4">
            <w:pPr>
              <w:spacing w:after="0" w:line="259" w:lineRule="auto"/>
              <w:ind w:left="0" w:firstLine="0"/>
            </w:pPr>
            <w:r>
              <w:rPr>
                <w:sz w:val="20"/>
              </w:rPr>
              <w:t>99.13%</w:t>
            </w:r>
            <w:r>
              <w:t xml:space="preserve"> </w:t>
            </w:r>
          </w:p>
        </w:tc>
      </w:tr>
      <w:tr w:rsidR="000F6918" w14:paraId="2BA968FB" w14:textId="77777777">
        <w:trPr>
          <w:trHeight w:val="424"/>
        </w:trPr>
        <w:tc>
          <w:tcPr>
            <w:tcW w:w="3121" w:type="dxa"/>
            <w:tcBorders>
              <w:top w:val="single" w:sz="32" w:space="0" w:color="FFFFFF"/>
              <w:left w:val="single" w:sz="2" w:space="0" w:color="CCCCCC"/>
              <w:bottom w:val="single" w:sz="32" w:space="0" w:color="EAF2FB"/>
              <w:right w:val="single" w:sz="2" w:space="0" w:color="CCCCCC"/>
            </w:tcBorders>
            <w:vAlign w:val="center"/>
          </w:tcPr>
          <w:p w14:paraId="6EEF8612" w14:textId="77777777" w:rsidR="000F6918" w:rsidRDefault="004D59C4">
            <w:pPr>
              <w:spacing w:after="0" w:line="259" w:lineRule="auto"/>
              <w:ind w:left="0" w:firstLine="0"/>
            </w:pPr>
            <w:r>
              <w:rPr>
                <w:sz w:val="20"/>
              </w:rPr>
              <w:t>Degree of Deacetylation</w:t>
            </w:r>
            <w:r>
              <w:t xml:space="preserve"> </w:t>
            </w:r>
          </w:p>
        </w:tc>
        <w:tc>
          <w:tcPr>
            <w:tcW w:w="6240" w:type="dxa"/>
            <w:tcBorders>
              <w:top w:val="single" w:sz="32" w:space="0" w:color="FFFFFF"/>
              <w:left w:val="single" w:sz="2" w:space="0" w:color="CCCCCC"/>
              <w:bottom w:val="single" w:sz="32" w:space="0" w:color="EAF2FB"/>
              <w:right w:val="single" w:sz="2" w:space="0" w:color="CCCCCC"/>
            </w:tcBorders>
            <w:vAlign w:val="center"/>
          </w:tcPr>
          <w:p w14:paraId="75F74F48" w14:textId="77777777" w:rsidR="000F6918" w:rsidRDefault="004D59C4">
            <w:pPr>
              <w:spacing w:after="0" w:line="259" w:lineRule="auto"/>
              <w:ind w:left="0" w:firstLine="0"/>
            </w:pPr>
            <w:r>
              <w:rPr>
                <w:sz w:val="20"/>
              </w:rPr>
              <w:t>≥95% (Tested: 98.67%)</w:t>
            </w:r>
            <w:r>
              <w:t xml:space="preserve"> </w:t>
            </w:r>
          </w:p>
        </w:tc>
      </w:tr>
      <w:tr w:rsidR="000F6918" w14:paraId="2A71C123" w14:textId="77777777">
        <w:trPr>
          <w:trHeight w:val="361"/>
        </w:trPr>
        <w:tc>
          <w:tcPr>
            <w:tcW w:w="3121" w:type="dxa"/>
            <w:tcBorders>
              <w:top w:val="single" w:sz="32" w:space="0" w:color="EAF2FB"/>
              <w:left w:val="single" w:sz="2" w:space="0" w:color="CCCCCC"/>
              <w:bottom w:val="single" w:sz="2" w:space="0" w:color="CCCCCC"/>
              <w:right w:val="single" w:sz="2" w:space="0" w:color="CCCCCC"/>
            </w:tcBorders>
            <w:shd w:val="clear" w:color="auto" w:fill="EAF2FB"/>
          </w:tcPr>
          <w:p w14:paraId="1D2D2759" w14:textId="77777777" w:rsidR="000F6918" w:rsidRDefault="004D59C4">
            <w:pPr>
              <w:spacing w:after="0" w:line="259" w:lineRule="auto"/>
              <w:ind w:left="0" w:firstLine="0"/>
            </w:pPr>
            <w:r>
              <w:rPr>
                <w:sz w:val="20"/>
              </w:rPr>
              <w:t>Target Animal</w:t>
            </w:r>
            <w:r>
              <w:t xml:space="preserve"> </w:t>
            </w:r>
          </w:p>
        </w:tc>
        <w:tc>
          <w:tcPr>
            <w:tcW w:w="6240" w:type="dxa"/>
            <w:tcBorders>
              <w:top w:val="single" w:sz="32" w:space="0" w:color="EAF2FB"/>
              <w:left w:val="single" w:sz="2" w:space="0" w:color="CCCCCC"/>
              <w:bottom w:val="single" w:sz="2" w:space="0" w:color="CCCCCC"/>
              <w:right w:val="single" w:sz="2" w:space="0" w:color="CCCCCC"/>
            </w:tcBorders>
            <w:shd w:val="clear" w:color="auto" w:fill="EAF2FB"/>
          </w:tcPr>
          <w:p w14:paraId="684B43B7" w14:textId="77777777" w:rsidR="000F6918" w:rsidRDefault="004D59C4">
            <w:pPr>
              <w:spacing w:after="0" w:line="259" w:lineRule="auto"/>
              <w:ind w:left="0" w:firstLine="0"/>
            </w:pPr>
            <w:r>
              <w:rPr>
                <w:sz w:val="20"/>
              </w:rPr>
              <w:t>Weaned and nursery piglets (primary); growing pigs (secondary)</w:t>
            </w:r>
            <w:r>
              <w:t xml:space="preserve"> </w:t>
            </w:r>
          </w:p>
        </w:tc>
      </w:tr>
      <w:tr w:rsidR="000F6918" w14:paraId="18611F20" w14:textId="77777777">
        <w:trPr>
          <w:trHeight w:val="391"/>
        </w:trPr>
        <w:tc>
          <w:tcPr>
            <w:tcW w:w="3121" w:type="dxa"/>
            <w:tcBorders>
              <w:top w:val="single" w:sz="2" w:space="0" w:color="CCCCCC"/>
              <w:left w:val="single" w:sz="2" w:space="0" w:color="CCCCCC"/>
              <w:bottom w:val="single" w:sz="2" w:space="0" w:color="CCCCCC"/>
              <w:right w:val="single" w:sz="2" w:space="0" w:color="CCCCCC"/>
            </w:tcBorders>
          </w:tcPr>
          <w:p w14:paraId="690B26A4" w14:textId="77777777" w:rsidR="000F6918" w:rsidRDefault="004D59C4">
            <w:pPr>
              <w:spacing w:after="0" w:line="259" w:lineRule="auto"/>
              <w:ind w:left="0" w:firstLine="0"/>
            </w:pPr>
            <w:r>
              <w:rPr>
                <w:sz w:val="20"/>
              </w:rPr>
              <w:t>Primary Benefits</w:t>
            </w:r>
            <w:r>
              <w:t xml:space="preserve"> </w:t>
            </w:r>
          </w:p>
        </w:tc>
        <w:tc>
          <w:tcPr>
            <w:tcW w:w="6240" w:type="dxa"/>
            <w:tcBorders>
              <w:top w:val="single" w:sz="2" w:space="0" w:color="CCCCCC"/>
              <w:left w:val="single" w:sz="2" w:space="0" w:color="CCCCCC"/>
              <w:bottom w:val="single" w:sz="2" w:space="0" w:color="CCCCCC"/>
              <w:right w:val="single" w:sz="2" w:space="0" w:color="CCCCCC"/>
            </w:tcBorders>
          </w:tcPr>
          <w:p w14:paraId="6BD653FE" w14:textId="77777777" w:rsidR="000F6918" w:rsidRDefault="004D59C4">
            <w:pPr>
              <w:spacing w:after="0" w:line="259" w:lineRule="auto"/>
              <w:ind w:left="0" w:firstLine="0"/>
            </w:pPr>
            <w:r>
              <w:rPr>
                <w:sz w:val="20"/>
              </w:rPr>
              <w:t>Growth performance, gut morphology, diarrhea reduction, immunity</w:t>
            </w:r>
            <w:r>
              <w:t xml:space="preserve"> </w:t>
            </w:r>
          </w:p>
        </w:tc>
      </w:tr>
    </w:tbl>
    <w:p w14:paraId="60F3DF2C" w14:textId="77777777" w:rsidR="000F6918" w:rsidRDefault="004D59C4">
      <w:pPr>
        <w:spacing w:after="431" w:line="259" w:lineRule="auto"/>
        <w:ind w:left="0" w:firstLine="0"/>
      </w:pPr>
      <w:r>
        <w:t xml:space="preserve"> </w:t>
      </w:r>
    </w:p>
    <w:p w14:paraId="06C57EF1" w14:textId="77777777" w:rsidR="000F6918" w:rsidRDefault="004D59C4">
      <w:pPr>
        <w:pStyle w:val="Heading2"/>
        <w:ind w:left="-5" w:right="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DD60D21" wp14:editId="47C2A412">
                <wp:simplePos x="0" y="0"/>
                <wp:positionH relativeFrom="page">
                  <wp:posOffset>782117</wp:posOffset>
                </wp:positionH>
                <wp:positionV relativeFrom="page">
                  <wp:posOffset>9279331</wp:posOffset>
                </wp:positionV>
                <wp:extent cx="6209665" cy="9144"/>
                <wp:effectExtent l="0" t="0" r="0" b="0"/>
                <wp:wrapTopAndBottom/>
                <wp:docPr id="16082" name="Group 16082"/>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37" name="Shape 19137"/>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6082" style="width:488.95pt;height:0.719971pt;position:absolute;mso-position-horizontal-relative:page;mso-position-horizontal:absolute;margin-left:61.584pt;mso-position-vertical-relative:page;margin-top:730.656pt;" coordsize="62096,91">
                <v:shape id="Shape 19138" style="position:absolute;width:62096;height:91;left:0;top:0;" coordsize="6209665,9144" path="m0,0l6209665,0l6209665,9144l0,9144l0,0">
                  <v:stroke weight="0pt" endcap="flat" joinstyle="miter" miterlimit="10" on="false" color="#000000" opacity="0"/>
                  <v:fill on="true" color="#1a5276"/>
                </v:shape>
                <w10:wrap type="topAndBottom"/>
              </v:group>
            </w:pict>
          </mc:Fallback>
        </mc:AlternateContent>
      </w:r>
      <w:r>
        <w:t>2. Background &amp; Mode of Action</w:t>
      </w:r>
      <w:r>
        <w:rPr>
          <w:b w:val="0"/>
          <w:color w:val="2E74B5"/>
        </w:rPr>
        <w:t xml:space="preserve"> </w:t>
      </w:r>
    </w:p>
    <w:p w14:paraId="61A3A2DD"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111D34C3" wp14:editId="287DD7BC">
                <wp:extent cx="6209665" cy="9144"/>
                <wp:effectExtent l="0" t="0" r="0" b="0"/>
                <wp:docPr id="16081" name="Group 16081"/>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39" name="Shape 19139"/>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6081" style="width:488.95pt;height:0.720001pt;mso-position-horizontal-relative:char;mso-position-vertical-relative:line" coordsize="62096,91">
                <v:shape id="Shape 19140"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5DABE4C8" w14:textId="77777777" w:rsidR="000F6918" w:rsidRDefault="004D59C4">
      <w:r>
        <w:t xml:space="preserve">Chitosan is a naturally derived biopolymer obtained through the deacetylation of chitin, which is found in the exoskeletons of crustaceans, insects, and the cell walls of fungi. The product evaluated in this report is sourced from Lenzites Betulina mushroom, providing a non-crustacean, </w:t>
      </w:r>
      <w:proofErr w:type="spellStart"/>
      <w:r>
        <w:t>vegancompatible</w:t>
      </w:r>
      <w:proofErr w:type="spellEnd"/>
      <w:r>
        <w:t xml:space="preserve"> origin. As a feed additive, chitosan and its oligosaccharide derivatives (COS </w:t>
      </w:r>
      <w:r>
        <w:t>–</w:t>
      </w:r>
      <w:r>
        <w:t xml:space="preserve"> </w:t>
      </w:r>
      <w:proofErr w:type="spellStart"/>
      <w:r>
        <w:t>chitooligosaccharides</w:t>
      </w:r>
      <w:proofErr w:type="spellEnd"/>
      <w:r>
        <w:t xml:space="preserve">) exhibit multiple bioactive properties relevant to swine production. </w:t>
      </w:r>
    </w:p>
    <w:p w14:paraId="2674A719" w14:textId="77777777" w:rsidR="000F6918" w:rsidRDefault="004D59C4">
      <w:pPr>
        <w:spacing w:after="256" w:line="259" w:lineRule="auto"/>
        <w:ind w:left="0" w:firstLine="0"/>
      </w:pPr>
      <w:r>
        <w:t xml:space="preserve"> </w:t>
      </w:r>
    </w:p>
    <w:p w14:paraId="643B26C6" w14:textId="77777777" w:rsidR="000F6918" w:rsidRDefault="004D59C4">
      <w:pPr>
        <w:pStyle w:val="Heading3"/>
        <w:ind w:left="-5"/>
      </w:pPr>
      <w:r>
        <w:t>2.1 Key Mechanisms of Action</w:t>
      </w:r>
      <w:r>
        <w:rPr>
          <w:b w:val="0"/>
          <w:color w:val="2E74B5"/>
        </w:rPr>
        <w:t xml:space="preserve"> </w:t>
      </w:r>
    </w:p>
    <w:p w14:paraId="4C4B58B7" w14:textId="77777777" w:rsidR="000F6918" w:rsidRDefault="004D59C4">
      <w:pPr>
        <w:numPr>
          <w:ilvl w:val="0"/>
          <w:numId w:val="1"/>
        </w:numPr>
        <w:ind w:hanging="360"/>
      </w:pPr>
      <w:r>
        <w:t xml:space="preserve">Antimicrobial Activity: Positively charged chitosan molecules bind to negatively charged bacterial cell membranes, disrupting integrity and inhibiting pathogens such as E. coli and Salmonella. </w:t>
      </w:r>
    </w:p>
    <w:p w14:paraId="019735B5" w14:textId="77777777" w:rsidR="000F6918" w:rsidRDefault="004D59C4">
      <w:pPr>
        <w:numPr>
          <w:ilvl w:val="0"/>
          <w:numId w:val="1"/>
        </w:numPr>
        <w:ind w:hanging="360"/>
      </w:pPr>
      <w:r>
        <w:t xml:space="preserve">Immunomodulation: Stimulates innate immune responses, increases immunoglobulin production, and upregulates cytokine expression in intestinal tissue. </w:t>
      </w:r>
    </w:p>
    <w:p w14:paraId="20F41056" w14:textId="77777777" w:rsidR="000F6918" w:rsidRDefault="004D59C4">
      <w:pPr>
        <w:numPr>
          <w:ilvl w:val="0"/>
          <w:numId w:val="1"/>
        </w:numPr>
        <w:ind w:hanging="360"/>
      </w:pPr>
      <w:r>
        <w:t xml:space="preserve">Gut Morphology Improvement: Enhances villus height and villus-to-crypt ratio in the small intestine, increasing absorptive surface area for nutrients. </w:t>
      </w:r>
    </w:p>
    <w:p w14:paraId="4E2373D5" w14:textId="77777777" w:rsidR="000F6918" w:rsidRDefault="004D59C4">
      <w:pPr>
        <w:numPr>
          <w:ilvl w:val="0"/>
          <w:numId w:val="1"/>
        </w:numPr>
        <w:ind w:hanging="360"/>
      </w:pPr>
      <w:r>
        <w:t xml:space="preserve">Prebiotic Effect: Selectively promotes growth of Lactobacillus and Bifidobacteria while suppressing harmful bacteria in the caecum and colon. </w:t>
      </w:r>
    </w:p>
    <w:p w14:paraId="411F8763" w14:textId="77777777" w:rsidR="000F6918" w:rsidRDefault="004D59C4">
      <w:pPr>
        <w:numPr>
          <w:ilvl w:val="0"/>
          <w:numId w:val="1"/>
        </w:numPr>
        <w:ind w:hanging="360"/>
      </w:pPr>
      <w:r>
        <w:t xml:space="preserve">Antioxidant Properties: Reduces oxidative stress </w:t>
      </w:r>
      <w:proofErr w:type="spellStart"/>
      <w:r>
        <w:t>markers</w:t>
      </w:r>
      <w:proofErr w:type="spellEnd"/>
      <w:r>
        <w:t xml:space="preserve"> and supports cellular integrity, particularly during the post-weaning stress period. </w:t>
      </w:r>
    </w:p>
    <w:p w14:paraId="7199AA64" w14:textId="77777777" w:rsidR="000F6918" w:rsidRDefault="004D59C4">
      <w:pPr>
        <w:numPr>
          <w:ilvl w:val="0"/>
          <w:numId w:val="1"/>
        </w:numPr>
        <w:ind w:hanging="360"/>
      </w:pPr>
      <w:r>
        <w:t xml:space="preserve">Growth Promotion: Acts as a natural antibiotic alternative by improving nutrient utilization, reducing subclinical infection burden, and enhancing anabolic hormone activity. </w:t>
      </w:r>
    </w:p>
    <w:p w14:paraId="2F2ABED5" w14:textId="77777777" w:rsidR="000F6918" w:rsidRDefault="004D59C4">
      <w:pPr>
        <w:spacing w:after="431" w:line="259" w:lineRule="auto"/>
        <w:ind w:left="0" w:firstLine="0"/>
      </w:pPr>
      <w:r>
        <w:t xml:space="preserve"> </w:t>
      </w:r>
    </w:p>
    <w:p w14:paraId="15E7B8A3" w14:textId="77777777" w:rsidR="000F6918" w:rsidRDefault="004D59C4">
      <w:pPr>
        <w:pStyle w:val="Heading2"/>
        <w:ind w:left="-5" w:right="0"/>
      </w:pPr>
      <w:r>
        <w:t>3. Scientific Evidence: Dose-Response Analysis</w:t>
      </w:r>
      <w:r>
        <w:rPr>
          <w:b w:val="0"/>
          <w:color w:val="2E74B5"/>
        </w:rPr>
        <w:t xml:space="preserve"> </w:t>
      </w:r>
    </w:p>
    <w:p w14:paraId="75A31516" w14:textId="77777777" w:rsidR="000F6918" w:rsidRDefault="004D59C4">
      <w:pPr>
        <w:spacing w:after="110"/>
      </w:pPr>
      <w:r>
        <w:t>The optimal inclusion rate for chitosan in swine diets has been investigated across numerous controlled feeding trials. The landmark study by Xu et al. (2013) with 180 weaned piglets provides the most rigorous dose-response data, identifying ~545 mg/kg as the breakpoint level for maximal body weight gain via broken-line regression analysis. The Chitosan Global recommendation of 560</w:t>
      </w:r>
      <w:r>
        <w:t xml:space="preserve">– </w:t>
      </w:r>
      <w:r>
        <w:t xml:space="preserve">565 mg/kg is positioned just above this threshold to account for product variability and to ensure consistent delivery of the active fraction. </w:t>
      </w:r>
    </w:p>
    <w:p w14:paraId="0C6CDEF6" w14:textId="77777777" w:rsidR="000F6918" w:rsidRDefault="004D59C4">
      <w:pPr>
        <w:spacing w:after="54" w:line="259" w:lineRule="auto"/>
        <w:ind w:left="0" w:firstLine="0"/>
      </w:pPr>
      <w:r>
        <w:t xml:space="preserve"> </w:t>
      </w:r>
    </w:p>
    <w:p w14:paraId="47B2417C" w14:textId="77777777" w:rsidR="000F6918" w:rsidRDefault="004D59C4">
      <w:pPr>
        <w:spacing w:after="0" w:line="259" w:lineRule="auto"/>
        <w:ind w:left="0" w:right="151" w:firstLine="0"/>
        <w:jc w:val="right"/>
      </w:pPr>
      <w:r>
        <w:rPr>
          <w:noProof/>
        </w:rPr>
        <w:lastRenderedPageBreak/>
        <w:drawing>
          <wp:inline distT="0" distB="0" distL="0" distR="0" wp14:anchorId="7ECA184A" wp14:editId="2A12DCA6">
            <wp:extent cx="5905500" cy="3333751"/>
            <wp:effectExtent l="0" t="0" r="0" b="0"/>
            <wp:docPr id="438" name="Picture 438"/>
            <wp:cNvGraphicFramePr/>
            <a:graphic xmlns:a="http://schemas.openxmlformats.org/drawingml/2006/main">
              <a:graphicData uri="http://schemas.openxmlformats.org/drawingml/2006/picture">
                <pic:pic xmlns:pic="http://schemas.openxmlformats.org/drawingml/2006/picture">
                  <pic:nvPicPr>
                    <pic:cNvPr id="438" name="Picture 438"/>
                    <pic:cNvPicPr/>
                  </pic:nvPicPr>
                  <pic:blipFill>
                    <a:blip r:embed="rId7"/>
                    <a:stretch>
                      <a:fillRect/>
                    </a:stretch>
                  </pic:blipFill>
                  <pic:spPr>
                    <a:xfrm>
                      <a:off x="0" y="0"/>
                      <a:ext cx="5905500" cy="3333751"/>
                    </a:xfrm>
                    <a:prstGeom prst="rect">
                      <a:avLst/>
                    </a:prstGeom>
                  </pic:spPr>
                </pic:pic>
              </a:graphicData>
            </a:graphic>
          </wp:inline>
        </w:drawing>
      </w:r>
      <w:r>
        <w:t xml:space="preserve"> </w:t>
      </w:r>
    </w:p>
    <w:p w14:paraId="1C86FBC7" w14:textId="77777777" w:rsidR="000F6918" w:rsidRDefault="004D59C4">
      <w:pPr>
        <w:spacing w:after="213" w:line="229" w:lineRule="auto"/>
        <w:ind w:left="11" w:right="1"/>
        <w:jc w:val="center"/>
      </w:pPr>
      <w:r>
        <w:rPr>
          <w:i/>
          <w:color w:val="555555"/>
          <w:sz w:val="18"/>
        </w:rPr>
        <w:t>Figure 1. Quadratic dose-response curve for body weight gain in weaned piglets supplemented with graded levels of chitosan (adapted from Xu et al., 2013). The broken-line optimal of ~545 mg/kg supports the Chitosan Global recommendation of 560–565 mg/kg (green band).</w:t>
      </w:r>
      <w:r>
        <w:t xml:space="preserve"> </w:t>
      </w:r>
    </w:p>
    <w:p w14:paraId="0175D0F2" w14:textId="77777777" w:rsidR="000F6918" w:rsidRDefault="004D59C4">
      <w:pPr>
        <w:spacing w:after="0" w:line="259" w:lineRule="auto"/>
        <w:ind w:left="0" w:firstLine="0"/>
      </w:pPr>
      <w:r>
        <w:t xml:space="preserve"> </w:t>
      </w:r>
    </w:p>
    <w:p w14:paraId="1FDD8A9D" w14:textId="77777777" w:rsidR="000F6918" w:rsidRDefault="004D59C4">
      <w:pPr>
        <w:spacing w:after="0" w:line="259" w:lineRule="auto"/>
        <w:ind w:left="0" w:firstLine="0"/>
        <w:jc w:val="right"/>
      </w:pPr>
      <w:r>
        <w:rPr>
          <w:noProof/>
        </w:rPr>
        <w:drawing>
          <wp:inline distT="0" distB="0" distL="0" distR="0" wp14:anchorId="30A79942" wp14:editId="28AF415C">
            <wp:extent cx="6096000" cy="3429000"/>
            <wp:effectExtent l="0" t="0" r="0" b="0"/>
            <wp:docPr id="835" name="Picture 835"/>
            <wp:cNvGraphicFramePr/>
            <a:graphic xmlns:a="http://schemas.openxmlformats.org/drawingml/2006/main">
              <a:graphicData uri="http://schemas.openxmlformats.org/drawingml/2006/picture">
                <pic:pic xmlns:pic="http://schemas.openxmlformats.org/drawingml/2006/picture">
                  <pic:nvPicPr>
                    <pic:cNvPr id="835" name="Picture 835"/>
                    <pic:cNvPicPr/>
                  </pic:nvPicPr>
                  <pic:blipFill>
                    <a:blip r:embed="rId8"/>
                    <a:stretch>
                      <a:fillRect/>
                    </a:stretch>
                  </pic:blipFill>
                  <pic:spPr>
                    <a:xfrm>
                      <a:off x="0" y="0"/>
                      <a:ext cx="6096000" cy="3429000"/>
                    </a:xfrm>
                    <a:prstGeom prst="rect">
                      <a:avLst/>
                    </a:prstGeom>
                  </pic:spPr>
                </pic:pic>
              </a:graphicData>
            </a:graphic>
          </wp:inline>
        </w:drawing>
      </w:r>
      <w:r>
        <w:t xml:space="preserve"> </w:t>
      </w:r>
    </w:p>
    <w:p w14:paraId="111B7371" w14:textId="77777777" w:rsidR="000F6918" w:rsidRDefault="004D59C4">
      <w:pPr>
        <w:spacing w:after="213" w:line="229" w:lineRule="auto"/>
        <w:ind w:left="11"/>
        <w:jc w:val="center"/>
      </w:pPr>
      <w:r>
        <w:rPr>
          <w:i/>
          <w:color w:val="555555"/>
          <w:sz w:val="18"/>
        </w:rPr>
        <w:t>Figure 2. Effective and tested chitosan inclusion ranges across key peer-reviewed studies. Red dots indicate the optimal or most effective dose reported; the green band marks the Chitosan Global recommendation.</w:t>
      </w:r>
      <w:r>
        <w:t xml:space="preserve"> </w:t>
      </w:r>
    </w:p>
    <w:p w14:paraId="65288330" w14:textId="77777777" w:rsidR="000F6918" w:rsidRDefault="004D59C4">
      <w:pPr>
        <w:spacing w:after="256" w:line="259" w:lineRule="auto"/>
        <w:ind w:left="0" w:firstLine="0"/>
      </w:pPr>
      <w:r>
        <w:t xml:space="preserve"> </w:t>
      </w:r>
    </w:p>
    <w:p w14:paraId="5E3DB56B" w14:textId="77777777" w:rsidR="000F6918" w:rsidRDefault="004D59C4">
      <w:pPr>
        <w:pStyle w:val="Heading3"/>
        <w:spacing w:after="0"/>
        <w:ind w:left="-5"/>
      </w:pPr>
      <w:r>
        <w:lastRenderedPageBreak/>
        <w:t>3.1 Summary of Key Research Trials</w:t>
      </w:r>
      <w:r>
        <w:rPr>
          <w:b w:val="0"/>
          <w:color w:val="2E74B5"/>
        </w:rPr>
        <w:t xml:space="preserve"> </w:t>
      </w:r>
    </w:p>
    <w:tbl>
      <w:tblPr>
        <w:tblStyle w:val="TableGrid"/>
        <w:tblW w:w="9360" w:type="dxa"/>
        <w:tblInd w:w="0" w:type="dxa"/>
        <w:tblCellMar>
          <w:top w:w="89" w:type="dxa"/>
          <w:left w:w="120" w:type="dxa"/>
          <w:bottom w:w="0" w:type="dxa"/>
          <w:right w:w="95" w:type="dxa"/>
        </w:tblCellMar>
        <w:tblLook w:val="04A0" w:firstRow="1" w:lastRow="0" w:firstColumn="1" w:lastColumn="0" w:noHBand="0" w:noVBand="1"/>
      </w:tblPr>
      <w:tblGrid>
        <w:gridCol w:w="1800"/>
        <w:gridCol w:w="1501"/>
        <w:gridCol w:w="1800"/>
        <w:gridCol w:w="4259"/>
      </w:tblGrid>
      <w:tr w:rsidR="000F6918" w14:paraId="7D7E032A" w14:textId="77777777">
        <w:trPr>
          <w:trHeight w:val="822"/>
        </w:trPr>
        <w:tc>
          <w:tcPr>
            <w:tcW w:w="1800" w:type="dxa"/>
            <w:tcBorders>
              <w:top w:val="single" w:sz="33" w:space="0" w:color="1A5276"/>
              <w:left w:val="single" w:sz="2" w:space="0" w:color="1A5276"/>
              <w:bottom w:val="single" w:sz="32" w:space="0" w:color="FFFFFF"/>
              <w:right w:val="single" w:sz="2" w:space="0" w:color="1A5276"/>
            </w:tcBorders>
            <w:shd w:val="clear" w:color="auto" w:fill="1A5276"/>
          </w:tcPr>
          <w:p w14:paraId="0065BE77" w14:textId="77777777" w:rsidR="000F6918" w:rsidRDefault="004D59C4">
            <w:pPr>
              <w:spacing w:after="0" w:line="259" w:lineRule="auto"/>
              <w:ind w:left="0" w:right="28" w:firstLine="0"/>
              <w:jc w:val="center"/>
            </w:pPr>
            <w:r>
              <w:rPr>
                <w:b/>
                <w:color w:val="FFFFFF"/>
                <w:sz w:val="20"/>
              </w:rPr>
              <w:t>Study</w:t>
            </w:r>
            <w:r>
              <w:t xml:space="preserve"> </w:t>
            </w:r>
          </w:p>
        </w:tc>
        <w:tc>
          <w:tcPr>
            <w:tcW w:w="1501" w:type="dxa"/>
            <w:tcBorders>
              <w:top w:val="single" w:sz="33" w:space="0" w:color="1A5276"/>
              <w:left w:val="single" w:sz="2" w:space="0" w:color="1A5276"/>
              <w:bottom w:val="single" w:sz="32" w:space="0" w:color="FFFFFF"/>
              <w:right w:val="single" w:sz="2" w:space="0" w:color="1A5276"/>
            </w:tcBorders>
            <w:shd w:val="clear" w:color="auto" w:fill="1A5276"/>
          </w:tcPr>
          <w:p w14:paraId="5A48809E" w14:textId="77777777" w:rsidR="000F6918" w:rsidRDefault="004D59C4">
            <w:pPr>
              <w:spacing w:after="0" w:line="259" w:lineRule="auto"/>
              <w:ind w:left="0" w:right="27" w:firstLine="0"/>
              <w:jc w:val="center"/>
            </w:pPr>
            <w:r>
              <w:rPr>
                <w:b/>
                <w:color w:val="FFFFFF"/>
                <w:sz w:val="20"/>
              </w:rPr>
              <w:t xml:space="preserve">Inclusion </w:t>
            </w:r>
          </w:p>
          <w:p w14:paraId="2A7B1FBE" w14:textId="77777777" w:rsidR="000F6918" w:rsidRDefault="004D59C4">
            <w:pPr>
              <w:spacing w:after="0" w:line="259" w:lineRule="auto"/>
              <w:ind w:left="0" w:right="28" w:firstLine="0"/>
              <w:jc w:val="center"/>
            </w:pPr>
            <w:r>
              <w:rPr>
                <w:b/>
                <w:color w:val="FFFFFF"/>
                <w:sz w:val="20"/>
              </w:rPr>
              <w:t xml:space="preserve">Levels </w:t>
            </w:r>
          </w:p>
          <w:p w14:paraId="507D84EE" w14:textId="77777777" w:rsidR="000F6918" w:rsidRDefault="004D59C4">
            <w:pPr>
              <w:spacing w:after="0" w:line="259" w:lineRule="auto"/>
              <w:ind w:left="0" w:right="27" w:firstLine="0"/>
              <w:jc w:val="center"/>
            </w:pPr>
            <w:r>
              <w:rPr>
                <w:b/>
                <w:color w:val="FFFFFF"/>
                <w:sz w:val="20"/>
              </w:rPr>
              <w:t>(mg/kg)</w:t>
            </w:r>
            <w:r>
              <w:t xml:space="preserve"> </w:t>
            </w:r>
          </w:p>
        </w:tc>
        <w:tc>
          <w:tcPr>
            <w:tcW w:w="1800" w:type="dxa"/>
            <w:tcBorders>
              <w:top w:val="single" w:sz="33" w:space="0" w:color="1A5276"/>
              <w:left w:val="single" w:sz="2" w:space="0" w:color="1A5276"/>
              <w:bottom w:val="single" w:sz="32" w:space="0" w:color="FFFFFF"/>
              <w:right w:val="single" w:sz="2" w:space="0" w:color="1A5276"/>
            </w:tcBorders>
            <w:shd w:val="clear" w:color="auto" w:fill="1A5276"/>
          </w:tcPr>
          <w:p w14:paraId="7A616E2E" w14:textId="77777777" w:rsidR="000F6918" w:rsidRDefault="004D59C4">
            <w:pPr>
              <w:spacing w:after="0" w:line="259" w:lineRule="auto"/>
              <w:ind w:left="0" w:firstLine="0"/>
              <w:jc w:val="center"/>
            </w:pPr>
            <w:r>
              <w:rPr>
                <w:b/>
                <w:color w:val="FFFFFF"/>
                <w:sz w:val="20"/>
              </w:rPr>
              <w:t>Optimal / Effective</w:t>
            </w:r>
            <w:r>
              <w:t xml:space="preserve"> </w:t>
            </w:r>
          </w:p>
        </w:tc>
        <w:tc>
          <w:tcPr>
            <w:tcW w:w="4260" w:type="dxa"/>
            <w:tcBorders>
              <w:top w:val="single" w:sz="33" w:space="0" w:color="1A5276"/>
              <w:left w:val="single" w:sz="2" w:space="0" w:color="1A5276"/>
              <w:bottom w:val="single" w:sz="32" w:space="0" w:color="FFFFFF"/>
              <w:right w:val="single" w:sz="2" w:space="0" w:color="1A5276"/>
            </w:tcBorders>
            <w:shd w:val="clear" w:color="auto" w:fill="1A5276"/>
          </w:tcPr>
          <w:p w14:paraId="06CCE51B" w14:textId="77777777" w:rsidR="000F6918" w:rsidRDefault="004D59C4">
            <w:pPr>
              <w:spacing w:after="0" w:line="259" w:lineRule="auto"/>
              <w:ind w:left="0" w:right="29" w:firstLine="0"/>
              <w:jc w:val="center"/>
            </w:pPr>
            <w:r>
              <w:rPr>
                <w:b/>
                <w:color w:val="FFFFFF"/>
                <w:sz w:val="20"/>
              </w:rPr>
              <w:t>Key Finding</w:t>
            </w:r>
            <w:r>
              <w:t xml:space="preserve"> </w:t>
            </w:r>
          </w:p>
        </w:tc>
      </w:tr>
      <w:tr w:rsidR="000F6918" w14:paraId="4C2628D4" w14:textId="77777777">
        <w:trPr>
          <w:trHeight w:val="882"/>
        </w:trPr>
        <w:tc>
          <w:tcPr>
            <w:tcW w:w="1800" w:type="dxa"/>
            <w:tcBorders>
              <w:top w:val="single" w:sz="32" w:space="0" w:color="FFFFFF"/>
              <w:left w:val="single" w:sz="2" w:space="0" w:color="CCCCCC"/>
              <w:bottom w:val="single" w:sz="32" w:space="0" w:color="EAF2FB"/>
              <w:right w:val="single" w:sz="2" w:space="0" w:color="CCCCCC"/>
            </w:tcBorders>
          </w:tcPr>
          <w:p w14:paraId="664C5199" w14:textId="77777777" w:rsidR="000F6918" w:rsidRDefault="004D59C4">
            <w:pPr>
              <w:spacing w:after="0" w:line="259" w:lineRule="auto"/>
              <w:ind w:left="0" w:firstLine="0"/>
            </w:pPr>
            <w:r>
              <w:rPr>
                <w:sz w:val="20"/>
              </w:rPr>
              <w:t>Xu et al. (2013)</w:t>
            </w:r>
            <w:r>
              <w:t xml:space="preserve"> </w:t>
            </w:r>
          </w:p>
        </w:tc>
        <w:tc>
          <w:tcPr>
            <w:tcW w:w="1501" w:type="dxa"/>
            <w:tcBorders>
              <w:top w:val="single" w:sz="32" w:space="0" w:color="FFFFFF"/>
              <w:left w:val="single" w:sz="2" w:space="0" w:color="CCCCCC"/>
              <w:bottom w:val="single" w:sz="32" w:space="0" w:color="EAF2FB"/>
              <w:right w:val="single" w:sz="2" w:space="0" w:color="CCCCCC"/>
            </w:tcBorders>
          </w:tcPr>
          <w:p w14:paraId="18E357CA" w14:textId="77777777" w:rsidR="000F6918" w:rsidRDefault="004D59C4">
            <w:pPr>
              <w:spacing w:after="0" w:line="259" w:lineRule="auto"/>
              <w:ind w:left="0" w:firstLine="0"/>
            </w:pPr>
            <w:r>
              <w:rPr>
                <w:sz w:val="20"/>
              </w:rPr>
              <w:t xml:space="preserve">0, 100, 500, </w:t>
            </w:r>
          </w:p>
          <w:p w14:paraId="64ABA7DD" w14:textId="77777777" w:rsidR="000F6918" w:rsidRDefault="004D59C4">
            <w:pPr>
              <w:spacing w:after="0" w:line="259" w:lineRule="auto"/>
              <w:ind w:left="0" w:firstLine="0"/>
            </w:pPr>
            <w:r>
              <w:rPr>
                <w:sz w:val="20"/>
              </w:rPr>
              <w:t>1000, 2000</w:t>
            </w:r>
            <w:r>
              <w:t xml:space="preserve"> </w:t>
            </w:r>
          </w:p>
        </w:tc>
        <w:tc>
          <w:tcPr>
            <w:tcW w:w="1800" w:type="dxa"/>
            <w:tcBorders>
              <w:top w:val="single" w:sz="32" w:space="0" w:color="FFFFFF"/>
              <w:left w:val="single" w:sz="2" w:space="0" w:color="CCCCCC"/>
              <w:bottom w:val="single" w:sz="32" w:space="0" w:color="EAF2FB"/>
              <w:right w:val="single" w:sz="2" w:space="0" w:color="CCCCCC"/>
            </w:tcBorders>
          </w:tcPr>
          <w:p w14:paraId="2853AE11" w14:textId="77777777" w:rsidR="000F6918" w:rsidRDefault="004D59C4">
            <w:pPr>
              <w:spacing w:after="0" w:line="259" w:lineRule="auto"/>
              <w:ind w:left="0" w:firstLine="0"/>
            </w:pPr>
            <w:r>
              <w:rPr>
                <w:sz w:val="20"/>
              </w:rPr>
              <w:t>~545 mg/kg</w:t>
            </w:r>
            <w:r>
              <w:t xml:space="preserve"> </w:t>
            </w:r>
          </w:p>
        </w:tc>
        <w:tc>
          <w:tcPr>
            <w:tcW w:w="4260" w:type="dxa"/>
            <w:tcBorders>
              <w:top w:val="single" w:sz="32" w:space="0" w:color="FFFFFF"/>
              <w:left w:val="single" w:sz="2" w:space="0" w:color="CCCCCC"/>
              <w:bottom w:val="single" w:sz="32" w:space="0" w:color="EAF2FB"/>
              <w:right w:val="single" w:sz="2" w:space="0" w:color="CCCCCC"/>
            </w:tcBorders>
            <w:vAlign w:val="center"/>
          </w:tcPr>
          <w:p w14:paraId="2D49816B" w14:textId="77777777" w:rsidR="000F6918" w:rsidRDefault="004D59C4">
            <w:pPr>
              <w:spacing w:after="0" w:line="259" w:lineRule="auto"/>
              <w:ind w:left="0" w:firstLine="0"/>
            </w:pPr>
            <w:r>
              <w:rPr>
                <w:sz w:val="20"/>
              </w:rPr>
              <w:t xml:space="preserve">Quadratic BWG response; </w:t>
            </w:r>
            <w:proofErr w:type="gramStart"/>
            <w:r>
              <w:rPr>
                <w:sz w:val="20"/>
              </w:rPr>
              <w:t>broken-line</w:t>
            </w:r>
            <w:proofErr w:type="gramEnd"/>
            <w:r>
              <w:rPr>
                <w:sz w:val="20"/>
              </w:rPr>
              <w:t xml:space="preserve"> </w:t>
            </w:r>
          </w:p>
          <w:p w14:paraId="77F6A508" w14:textId="77777777" w:rsidR="000F6918" w:rsidRDefault="004D59C4">
            <w:pPr>
              <w:spacing w:after="0" w:line="259" w:lineRule="auto"/>
              <w:ind w:left="0" w:firstLine="0"/>
            </w:pPr>
            <w:r>
              <w:rPr>
                <w:sz w:val="20"/>
              </w:rPr>
              <w:t>optimal at 545 mg/kg; improved villus height and serum GH</w:t>
            </w:r>
            <w:r>
              <w:t xml:space="preserve"> </w:t>
            </w:r>
          </w:p>
        </w:tc>
      </w:tr>
      <w:tr w:rsidR="000F6918" w14:paraId="4130EC8D" w14:textId="77777777">
        <w:trPr>
          <w:trHeight w:val="594"/>
        </w:trPr>
        <w:tc>
          <w:tcPr>
            <w:tcW w:w="1800" w:type="dxa"/>
            <w:tcBorders>
              <w:top w:val="single" w:sz="32" w:space="0" w:color="EAF2FB"/>
              <w:left w:val="single" w:sz="2" w:space="0" w:color="CCCCCC"/>
              <w:bottom w:val="single" w:sz="2" w:space="0" w:color="CCCCCC"/>
              <w:right w:val="single" w:sz="2" w:space="0" w:color="CCCCCC"/>
            </w:tcBorders>
            <w:shd w:val="clear" w:color="auto" w:fill="EAF2FB"/>
          </w:tcPr>
          <w:p w14:paraId="6EF92FD8" w14:textId="77777777" w:rsidR="000F6918" w:rsidRDefault="004D59C4">
            <w:pPr>
              <w:spacing w:after="0" w:line="259" w:lineRule="auto"/>
              <w:ind w:left="0" w:firstLine="0"/>
            </w:pPr>
            <w:r>
              <w:rPr>
                <w:sz w:val="20"/>
              </w:rPr>
              <w:t>Liu et al. (2008)</w:t>
            </w:r>
            <w:r>
              <w:t xml:space="preserve"> </w:t>
            </w:r>
          </w:p>
        </w:tc>
        <w:tc>
          <w:tcPr>
            <w:tcW w:w="1501" w:type="dxa"/>
            <w:tcBorders>
              <w:top w:val="single" w:sz="32" w:space="0" w:color="EAF2FB"/>
              <w:left w:val="single" w:sz="2" w:space="0" w:color="CCCCCC"/>
              <w:bottom w:val="single" w:sz="2" w:space="0" w:color="CCCCCC"/>
              <w:right w:val="single" w:sz="2" w:space="0" w:color="CCCCCC"/>
            </w:tcBorders>
            <w:shd w:val="clear" w:color="auto" w:fill="EAF2FB"/>
          </w:tcPr>
          <w:p w14:paraId="68AD61B6" w14:textId="77777777" w:rsidR="000F6918" w:rsidRDefault="004D59C4">
            <w:pPr>
              <w:spacing w:after="0" w:line="259" w:lineRule="auto"/>
              <w:ind w:left="0" w:firstLine="0"/>
            </w:pPr>
            <w:r>
              <w:rPr>
                <w:sz w:val="20"/>
              </w:rPr>
              <w:t>100, 200, 400</w:t>
            </w:r>
            <w:r>
              <w:t xml:space="preserve"> </w:t>
            </w:r>
          </w:p>
        </w:tc>
        <w:tc>
          <w:tcPr>
            <w:tcW w:w="1800" w:type="dxa"/>
            <w:tcBorders>
              <w:top w:val="single" w:sz="32" w:space="0" w:color="EAF2FB"/>
              <w:left w:val="single" w:sz="2" w:space="0" w:color="CCCCCC"/>
              <w:bottom w:val="single" w:sz="2" w:space="0" w:color="CCCCCC"/>
              <w:right w:val="single" w:sz="2" w:space="0" w:color="CCCCCC"/>
            </w:tcBorders>
            <w:shd w:val="clear" w:color="auto" w:fill="EAF2FB"/>
          </w:tcPr>
          <w:p w14:paraId="5E8A60DA" w14:textId="77777777" w:rsidR="000F6918" w:rsidRDefault="004D59C4">
            <w:pPr>
              <w:spacing w:after="0" w:line="259" w:lineRule="auto"/>
              <w:ind w:left="0" w:firstLine="0"/>
            </w:pPr>
            <w:r>
              <w:rPr>
                <w:sz w:val="20"/>
              </w:rPr>
              <w:t>100</w:t>
            </w:r>
            <w:r>
              <w:rPr>
                <w:sz w:val="20"/>
              </w:rPr>
              <w:t>–</w:t>
            </w:r>
            <w:r>
              <w:rPr>
                <w:sz w:val="20"/>
              </w:rPr>
              <w:t>200 mg/kg</w:t>
            </w:r>
            <w:r>
              <w:t xml:space="preserve"> </w:t>
            </w:r>
          </w:p>
        </w:tc>
        <w:tc>
          <w:tcPr>
            <w:tcW w:w="4260" w:type="dxa"/>
            <w:tcBorders>
              <w:top w:val="single" w:sz="32" w:space="0" w:color="EAF2FB"/>
              <w:left w:val="single" w:sz="2" w:space="0" w:color="CCCCCC"/>
              <w:bottom w:val="single" w:sz="32" w:space="0" w:color="FFFFFF"/>
              <w:right w:val="single" w:sz="2" w:space="0" w:color="CCCCCC"/>
            </w:tcBorders>
            <w:shd w:val="clear" w:color="auto" w:fill="EAF2FB"/>
          </w:tcPr>
          <w:p w14:paraId="7DB26DF3" w14:textId="77777777" w:rsidR="000F6918" w:rsidRDefault="004D59C4">
            <w:pPr>
              <w:spacing w:after="0" w:line="259" w:lineRule="auto"/>
              <w:ind w:left="0" w:firstLine="0"/>
            </w:pPr>
            <w:r>
              <w:rPr>
                <w:sz w:val="20"/>
              </w:rPr>
              <w:t>COS: Improved ADG, FCR, diarrhea scores; increased Lactobacillus, decreased E. coli</w:t>
            </w:r>
            <w:r>
              <w:t xml:space="preserve"> </w:t>
            </w:r>
          </w:p>
        </w:tc>
      </w:tr>
      <w:tr w:rsidR="000F6918" w14:paraId="58EFE2E6" w14:textId="77777777">
        <w:trPr>
          <w:trHeight w:val="652"/>
        </w:trPr>
        <w:tc>
          <w:tcPr>
            <w:tcW w:w="1800" w:type="dxa"/>
            <w:tcBorders>
              <w:top w:val="single" w:sz="2" w:space="0" w:color="CCCCCC"/>
              <w:left w:val="single" w:sz="2" w:space="0" w:color="CCCCCC"/>
              <w:bottom w:val="single" w:sz="32" w:space="0" w:color="EAF2FB"/>
              <w:right w:val="single" w:sz="2" w:space="0" w:color="CCCCCC"/>
            </w:tcBorders>
            <w:vAlign w:val="center"/>
          </w:tcPr>
          <w:p w14:paraId="0CEFBF02" w14:textId="77777777" w:rsidR="000F6918" w:rsidRDefault="004D59C4">
            <w:pPr>
              <w:spacing w:after="0" w:line="259" w:lineRule="auto"/>
              <w:ind w:left="0" w:right="1" w:firstLine="0"/>
            </w:pPr>
            <w:r>
              <w:rPr>
                <w:sz w:val="20"/>
              </w:rPr>
              <w:t>Yang et al. (2012)</w:t>
            </w:r>
            <w:r>
              <w:t xml:space="preserve"> </w:t>
            </w:r>
          </w:p>
        </w:tc>
        <w:tc>
          <w:tcPr>
            <w:tcW w:w="1501" w:type="dxa"/>
            <w:tcBorders>
              <w:top w:val="single" w:sz="2" w:space="0" w:color="CCCCCC"/>
              <w:left w:val="single" w:sz="2" w:space="0" w:color="CCCCCC"/>
              <w:bottom w:val="single" w:sz="32" w:space="0" w:color="EAF2FB"/>
              <w:right w:val="single" w:sz="2" w:space="0" w:color="CCCCCC"/>
            </w:tcBorders>
          </w:tcPr>
          <w:p w14:paraId="647F64C6" w14:textId="77777777" w:rsidR="000F6918" w:rsidRDefault="004D59C4">
            <w:pPr>
              <w:spacing w:after="0" w:line="259" w:lineRule="auto"/>
              <w:ind w:left="0" w:firstLine="0"/>
            </w:pPr>
            <w:r>
              <w:rPr>
                <w:sz w:val="20"/>
              </w:rPr>
              <w:t>200, 400, 600</w:t>
            </w:r>
            <w:r>
              <w:t xml:space="preserve"> </w:t>
            </w:r>
          </w:p>
        </w:tc>
        <w:tc>
          <w:tcPr>
            <w:tcW w:w="1800" w:type="dxa"/>
            <w:tcBorders>
              <w:top w:val="single" w:sz="2" w:space="0" w:color="CCCCCC"/>
              <w:left w:val="single" w:sz="2" w:space="0" w:color="CCCCCC"/>
              <w:bottom w:val="single" w:sz="32" w:space="0" w:color="EAF2FB"/>
              <w:right w:val="single" w:sz="2" w:space="0" w:color="CCCCCC"/>
            </w:tcBorders>
          </w:tcPr>
          <w:p w14:paraId="0649F0DA" w14:textId="77777777" w:rsidR="000F6918" w:rsidRDefault="004D59C4">
            <w:pPr>
              <w:spacing w:after="0" w:line="259" w:lineRule="auto"/>
              <w:ind w:left="0" w:firstLine="0"/>
            </w:pPr>
            <w:r>
              <w:rPr>
                <w:sz w:val="20"/>
              </w:rPr>
              <w:t>400 mg/kg</w:t>
            </w:r>
            <w:r>
              <w:t xml:space="preserve"> </w:t>
            </w:r>
          </w:p>
        </w:tc>
        <w:tc>
          <w:tcPr>
            <w:tcW w:w="4260" w:type="dxa"/>
            <w:tcBorders>
              <w:top w:val="single" w:sz="32" w:space="0" w:color="FFFFFF"/>
              <w:left w:val="single" w:sz="2" w:space="0" w:color="CCCCCC"/>
              <w:bottom w:val="single" w:sz="32" w:space="0" w:color="EAF2FB"/>
              <w:right w:val="single" w:sz="2" w:space="0" w:color="CCCCCC"/>
            </w:tcBorders>
            <w:vAlign w:val="center"/>
          </w:tcPr>
          <w:p w14:paraId="5DA98468" w14:textId="77777777" w:rsidR="000F6918" w:rsidRDefault="004D59C4">
            <w:pPr>
              <w:spacing w:after="0" w:line="259" w:lineRule="auto"/>
              <w:ind w:left="0" w:firstLine="0"/>
            </w:pPr>
            <w:r>
              <w:rPr>
                <w:sz w:val="20"/>
              </w:rPr>
              <w:t xml:space="preserve">COS: Improved ADG/ADFI; increased </w:t>
            </w:r>
          </w:p>
          <w:p w14:paraId="4B495FE0" w14:textId="77777777" w:rsidR="000F6918" w:rsidRDefault="004D59C4">
            <w:pPr>
              <w:spacing w:after="0" w:line="259" w:lineRule="auto"/>
              <w:ind w:left="0" w:firstLine="0"/>
            </w:pPr>
            <w:r>
              <w:rPr>
                <w:sz w:val="20"/>
              </w:rPr>
              <w:t>Bifidobacteria and Lactobacillus in caecum</w:t>
            </w:r>
            <w:r>
              <w:t xml:space="preserve"> </w:t>
            </w:r>
          </w:p>
        </w:tc>
      </w:tr>
      <w:tr w:rsidR="000F6918" w14:paraId="127C6B0E" w14:textId="77777777">
        <w:trPr>
          <w:trHeight w:val="592"/>
        </w:trPr>
        <w:tc>
          <w:tcPr>
            <w:tcW w:w="1800" w:type="dxa"/>
            <w:tcBorders>
              <w:top w:val="single" w:sz="32" w:space="0" w:color="EAF2FB"/>
              <w:left w:val="single" w:sz="2" w:space="0" w:color="CCCCCC"/>
              <w:bottom w:val="single" w:sz="32" w:space="0" w:color="FFFFFF"/>
              <w:right w:val="single" w:sz="2" w:space="0" w:color="CCCCCC"/>
            </w:tcBorders>
            <w:shd w:val="clear" w:color="auto" w:fill="EAF2FB"/>
          </w:tcPr>
          <w:p w14:paraId="05E0792F" w14:textId="77777777" w:rsidR="000F6918" w:rsidRDefault="004D59C4">
            <w:pPr>
              <w:spacing w:after="0" w:line="259" w:lineRule="auto"/>
              <w:ind w:left="0" w:right="13" w:firstLine="0"/>
            </w:pPr>
            <w:r>
              <w:rPr>
                <w:sz w:val="20"/>
              </w:rPr>
              <w:t>Zhou et al. (2012)</w:t>
            </w:r>
            <w:r>
              <w:t xml:space="preserve"> </w:t>
            </w:r>
          </w:p>
        </w:tc>
        <w:tc>
          <w:tcPr>
            <w:tcW w:w="1501" w:type="dxa"/>
            <w:tcBorders>
              <w:top w:val="single" w:sz="32" w:space="0" w:color="EAF2FB"/>
              <w:left w:val="single" w:sz="2" w:space="0" w:color="CCCCCC"/>
              <w:bottom w:val="single" w:sz="32" w:space="0" w:color="FFFFFF"/>
              <w:right w:val="single" w:sz="2" w:space="0" w:color="CCCCCC"/>
            </w:tcBorders>
            <w:shd w:val="clear" w:color="auto" w:fill="EAF2FB"/>
          </w:tcPr>
          <w:p w14:paraId="0F95BB92" w14:textId="77777777" w:rsidR="000F6918" w:rsidRDefault="004D59C4">
            <w:pPr>
              <w:spacing w:after="0" w:line="259" w:lineRule="auto"/>
              <w:ind w:left="0" w:firstLine="0"/>
            </w:pPr>
            <w:r>
              <w:rPr>
                <w:sz w:val="20"/>
              </w:rPr>
              <w:t>1000, 2000</w:t>
            </w:r>
            <w:r>
              <w:t xml:space="preserve"> </w:t>
            </w:r>
          </w:p>
        </w:tc>
        <w:tc>
          <w:tcPr>
            <w:tcW w:w="1800" w:type="dxa"/>
            <w:tcBorders>
              <w:top w:val="single" w:sz="32" w:space="0" w:color="EAF2FB"/>
              <w:left w:val="single" w:sz="2" w:space="0" w:color="CCCCCC"/>
              <w:bottom w:val="single" w:sz="32" w:space="0" w:color="FFFFFF"/>
              <w:right w:val="single" w:sz="2" w:space="0" w:color="CCCCCC"/>
            </w:tcBorders>
            <w:shd w:val="clear" w:color="auto" w:fill="EAF2FB"/>
          </w:tcPr>
          <w:p w14:paraId="7E498C0E" w14:textId="77777777" w:rsidR="000F6918" w:rsidRDefault="004D59C4">
            <w:pPr>
              <w:spacing w:after="0" w:line="259" w:lineRule="auto"/>
              <w:ind w:left="0" w:firstLine="0"/>
            </w:pPr>
            <w:r>
              <w:rPr>
                <w:sz w:val="20"/>
              </w:rPr>
              <w:t>2000 mg/kg</w:t>
            </w:r>
            <w:r>
              <w:t xml:space="preserve"> </w:t>
            </w:r>
          </w:p>
        </w:tc>
        <w:tc>
          <w:tcPr>
            <w:tcW w:w="4260" w:type="dxa"/>
            <w:tcBorders>
              <w:top w:val="single" w:sz="32" w:space="0" w:color="EAF2FB"/>
              <w:left w:val="single" w:sz="2" w:space="0" w:color="CCCCCC"/>
              <w:bottom w:val="single" w:sz="32" w:space="0" w:color="FFFFFF"/>
              <w:right w:val="single" w:sz="2" w:space="0" w:color="CCCCCC"/>
            </w:tcBorders>
            <w:shd w:val="clear" w:color="auto" w:fill="EAF2FB"/>
          </w:tcPr>
          <w:p w14:paraId="668EE1E1" w14:textId="77777777" w:rsidR="000F6918" w:rsidRDefault="004D59C4">
            <w:pPr>
              <w:spacing w:after="0" w:line="259" w:lineRule="auto"/>
              <w:ind w:left="0" w:firstLine="0"/>
            </w:pPr>
            <w:r>
              <w:rPr>
                <w:sz w:val="20"/>
              </w:rPr>
              <w:t>Improved total tract digestibility (DM and N); reduced diarrhea; comparable to antibiotics</w:t>
            </w:r>
            <w:r>
              <w:t xml:space="preserve"> </w:t>
            </w:r>
          </w:p>
        </w:tc>
      </w:tr>
      <w:tr w:rsidR="000F6918" w14:paraId="3888B478" w14:textId="77777777">
        <w:trPr>
          <w:trHeight w:val="652"/>
        </w:trPr>
        <w:tc>
          <w:tcPr>
            <w:tcW w:w="1800" w:type="dxa"/>
            <w:tcBorders>
              <w:top w:val="single" w:sz="32" w:space="0" w:color="FFFFFF"/>
              <w:left w:val="single" w:sz="2" w:space="0" w:color="CCCCCC"/>
              <w:bottom w:val="single" w:sz="32" w:space="0" w:color="EAF2FB"/>
              <w:right w:val="single" w:sz="2" w:space="0" w:color="CCCCCC"/>
            </w:tcBorders>
          </w:tcPr>
          <w:p w14:paraId="4A23A44B" w14:textId="77777777" w:rsidR="000F6918" w:rsidRDefault="004D59C4">
            <w:pPr>
              <w:spacing w:after="0" w:line="259" w:lineRule="auto"/>
              <w:ind w:left="0" w:firstLine="0"/>
            </w:pPr>
            <w:r>
              <w:rPr>
                <w:sz w:val="20"/>
              </w:rPr>
              <w:t>Xiao et al. (2014)</w:t>
            </w:r>
            <w:r>
              <w:t xml:space="preserve"> </w:t>
            </w:r>
          </w:p>
        </w:tc>
        <w:tc>
          <w:tcPr>
            <w:tcW w:w="1501" w:type="dxa"/>
            <w:tcBorders>
              <w:top w:val="single" w:sz="32" w:space="0" w:color="FFFFFF"/>
              <w:left w:val="single" w:sz="2" w:space="0" w:color="CCCCCC"/>
              <w:bottom w:val="single" w:sz="32" w:space="0" w:color="EAF2FB"/>
              <w:right w:val="single" w:sz="2" w:space="0" w:color="CCCCCC"/>
            </w:tcBorders>
          </w:tcPr>
          <w:p w14:paraId="5462B187" w14:textId="77777777" w:rsidR="000F6918" w:rsidRDefault="004D59C4">
            <w:pPr>
              <w:spacing w:after="0" w:line="259" w:lineRule="auto"/>
              <w:ind w:left="0" w:firstLine="0"/>
            </w:pPr>
            <w:r>
              <w:rPr>
                <w:sz w:val="20"/>
              </w:rPr>
              <w:t>300</w:t>
            </w:r>
            <w:r>
              <w:t xml:space="preserve"> </w:t>
            </w:r>
          </w:p>
        </w:tc>
        <w:tc>
          <w:tcPr>
            <w:tcW w:w="1800" w:type="dxa"/>
            <w:tcBorders>
              <w:top w:val="single" w:sz="32" w:space="0" w:color="FFFFFF"/>
              <w:left w:val="single" w:sz="2" w:space="0" w:color="CCCCCC"/>
              <w:bottom w:val="single" w:sz="32" w:space="0" w:color="EAF2FB"/>
              <w:right w:val="single" w:sz="2" w:space="0" w:color="CCCCCC"/>
            </w:tcBorders>
          </w:tcPr>
          <w:p w14:paraId="6941718A" w14:textId="77777777" w:rsidR="000F6918" w:rsidRDefault="004D59C4">
            <w:pPr>
              <w:spacing w:after="0" w:line="259" w:lineRule="auto"/>
              <w:ind w:left="0" w:firstLine="0"/>
            </w:pPr>
            <w:r>
              <w:rPr>
                <w:sz w:val="20"/>
              </w:rPr>
              <w:t>300 mg/kg</w:t>
            </w:r>
            <w:r>
              <w:t xml:space="preserve"> </w:t>
            </w:r>
          </w:p>
        </w:tc>
        <w:tc>
          <w:tcPr>
            <w:tcW w:w="4260" w:type="dxa"/>
            <w:tcBorders>
              <w:top w:val="single" w:sz="32" w:space="0" w:color="FFFFFF"/>
              <w:left w:val="single" w:sz="2" w:space="0" w:color="CCCCCC"/>
              <w:bottom w:val="single" w:sz="32" w:space="0" w:color="EAF2FB"/>
              <w:right w:val="single" w:sz="2" w:space="0" w:color="CCCCCC"/>
            </w:tcBorders>
            <w:vAlign w:val="center"/>
          </w:tcPr>
          <w:p w14:paraId="0EADB1BF" w14:textId="77777777" w:rsidR="000F6918" w:rsidRDefault="004D59C4">
            <w:pPr>
              <w:spacing w:after="0" w:line="259" w:lineRule="auto"/>
              <w:ind w:left="0" w:firstLine="0"/>
            </w:pPr>
            <w:r>
              <w:rPr>
                <w:sz w:val="20"/>
              </w:rPr>
              <w:t>COS: Alleviated intestinal inflammation; enhanced cell-mediated immunity</w:t>
            </w:r>
            <w:r>
              <w:t xml:space="preserve"> </w:t>
            </w:r>
          </w:p>
        </w:tc>
      </w:tr>
      <w:tr w:rsidR="000F6918" w14:paraId="144E1FE0" w14:textId="77777777">
        <w:trPr>
          <w:trHeight w:val="592"/>
        </w:trPr>
        <w:tc>
          <w:tcPr>
            <w:tcW w:w="1800" w:type="dxa"/>
            <w:tcBorders>
              <w:top w:val="single" w:sz="32" w:space="0" w:color="EAF2FB"/>
              <w:left w:val="single" w:sz="2" w:space="0" w:color="CCCCCC"/>
              <w:bottom w:val="single" w:sz="32" w:space="0" w:color="FFFFFF"/>
              <w:right w:val="single" w:sz="2" w:space="0" w:color="CCCCCC"/>
            </w:tcBorders>
            <w:shd w:val="clear" w:color="auto" w:fill="EAF2FB"/>
          </w:tcPr>
          <w:p w14:paraId="6F802F64" w14:textId="77777777" w:rsidR="000F6918" w:rsidRDefault="004D59C4">
            <w:pPr>
              <w:spacing w:after="0" w:line="259" w:lineRule="auto"/>
              <w:ind w:left="0" w:firstLine="0"/>
            </w:pPr>
            <w:r>
              <w:rPr>
                <w:sz w:val="20"/>
              </w:rPr>
              <w:t>Hu et al. (2018)</w:t>
            </w:r>
            <w:r>
              <w:t xml:space="preserve"> </w:t>
            </w:r>
          </w:p>
        </w:tc>
        <w:tc>
          <w:tcPr>
            <w:tcW w:w="1501" w:type="dxa"/>
            <w:tcBorders>
              <w:top w:val="single" w:sz="32" w:space="0" w:color="EAF2FB"/>
              <w:left w:val="single" w:sz="2" w:space="0" w:color="CCCCCC"/>
              <w:bottom w:val="single" w:sz="32" w:space="0" w:color="FFFFFF"/>
              <w:right w:val="single" w:sz="2" w:space="0" w:color="CCCCCC"/>
            </w:tcBorders>
            <w:shd w:val="clear" w:color="auto" w:fill="EAF2FB"/>
          </w:tcPr>
          <w:p w14:paraId="23A6FA54" w14:textId="77777777" w:rsidR="000F6918" w:rsidRDefault="004D59C4">
            <w:pPr>
              <w:spacing w:after="0" w:line="259" w:lineRule="auto"/>
              <w:ind w:left="0" w:firstLine="0"/>
            </w:pPr>
            <w:r>
              <w:rPr>
                <w:sz w:val="20"/>
              </w:rPr>
              <w:t>50</w:t>
            </w:r>
            <w:r>
              <w:t xml:space="preserve"> </w:t>
            </w:r>
          </w:p>
        </w:tc>
        <w:tc>
          <w:tcPr>
            <w:tcW w:w="1800" w:type="dxa"/>
            <w:tcBorders>
              <w:top w:val="single" w:sz="32" w:space="0" w:color="EAF2FB"/>
              <w:left w:val="single" w:sz="2" w:space="0" w:color="CCCCCC"/>
              <w:bottom w:val="single" w:sz="32" w:space="0" w:color="FFFFFF"/>
              <w:right w:val="single" w:sz="2" w:space="0" w:color="CCCCCC"/>
            </w:tcBorders>
            <w:shd w:val="clear" w:color="auto" w:fill="EAF2FB"/>
          </w:tcPr>
          <w:p w14:paraId="57DE2AAD" w14:textId="77777777" w:rsidR="000F6918" w:rsidRDefault="004D59C4">
            <w:pPr>
              <w:spacing w:after="0" w:line="259" w:lineRule="auto"/>
              <w:ind w:left="0" w:firstLine="0"/>
            </w:pPr>
            <w:r>
              <w:rPr>
                <w:sz w:val="20"/>
              </w:rPr>
              <w:t>50 mg/kg</w:t>
            </w:r>
            <w:r>
              <w:t xml:space="preserve"> </w:t>
            </w:r>
          </w:p>
        </w:tc>
        <w:tc>
          <w:tcPr>
            <w:tcW w:w="4260" w:type="dxa"/>
            <w:tcBorders>
              <w:top w:val="single" w:sz="32" w:space="0" w:color="EAF2FB"/>
              <w:left w:val="single" w:sz="2" w:space="0" w:color="CCCCCC"/>
              <w:bottom w:val="single" w:sz="32" w:space="0" w:color="FFFFFF"/>
              <w:right w:val="single" w:sz="2" w:space="0" w:color="CCCCCC"/>
            </w:tcBorders>
            <w:shd w:val="clear" w:color="auto" w:fill="EAF2FB"/>
          </w:tcPr>
          <w:p w14:paraId="0118179A" w14:textId="77777777" w:rsidR="000F6918" w:rsidRDefault="004D59C4">
            <w:pPr>
              <w:spacing w:after="0" w:line="259" w:lineRule="auto"/>
              <w:ind w:left="0" w:firstLine="0"/>
            </w:pPr>
            <w:r>
              <w:rPr>
                <w:sz w:val="20"/>
              </w:rPr>
              <w:t>Low-</w:t>
            </w:r>
            <w:r>
              <w:rPr>
                <w:sz w:val="20"/>
              </w:rPr>
              <w:t>MW chitosan: Enhanced growth performance at low dose</w:t>
            </w:r>
            <w:r>
              <w:t xml:space="preserve"> </w:t>
            </w:r>
          </w:p>
        </w:tc>
      </w:tr>
      <w:tr w:rsidR="000F6918" w14:paraId="790E5754" w14:textId="77777777">
        <w:trPr>
          <w:trHeight w:val="852"/>
        </w:trPr>
        <w:tc>
          <w:tcPr>
            <w:tcW w:w="1800" w:type="dxa"/>
            <w:tcBorders>
              <w:top w:val="single" w:sz="32" w:space="0" w:color="FFFFFF"/>
              <w:left w:val="single" w:sz="2" w:space="0" w:color="CCCCCC"/>
              <w:bottom w:val="single" w:sz="2" w:space="0" w:color="CCCCCC"/>
              <w:right w:val="single" w:sz="2" w:space="0" w:color="CCCCCC"/>
            </w:tcBorders>
          </w:tcPr>
          <w:p w14:paraId="14299F4F" w14:textId="77777777" w:rsidR="000F6918" w:rsidRDefault="004D59C4">
            <w:pPr>
              <w:spacing w:after="0" w:line="259" w:lineRule="auto"/>
              <w:ind w:left="0" w:firstLine="0"/>
            </w:pPr>
            <w:r>
              <w:rPr>
                <w:sz w:val="20"/>
              </w:rPr>
              <w:t>Swiatkiewicz et al. (2015)</w:t>
            </w:r>
            <w:r>
              <w:t xml:space="preserve"> </w:t>
            </w:r>
          </w:p>
        </w:tc>
        <w:tc>
          <w:tcPr>
            <w:tcW w:w="1501" w:type="dxa"/>
            <w:tcBorders>
              <w:top w:val="single" w:sz="32" w:space="0" w:color="FFFFFF"/>
              <w:left w:val="single" w:sz="2" w:space="0" w:color="CCCCCC"/>
              <w:bottom w:val="single" w:sz="2" w:space="0" w:color="CCCCCC"/>
              <w:right w:val="single" w:sz="2" w:space="0" w:color="CCCCCC"/>
            </w:tcBorders>
          </w:tcPr>
          <w:p w14:paraId="1BD14AE4" w14:textId="77777777" w:rsidR="000F6918" w:rsidRDefault="004D59C4">
            <w:pPr>
              <w:spacing w:after="0" w:line="259" w:lineRule="auto"/>
              <w:ind w:left="0" w:firstLine="0"/>
            </w:pPr>
            <w:r>
              <w:rPr>
                <w:sz w:val="20"/>
              </w:rPr>
              <w:t>Review</w:t>
            </w:r>
            <w:r>
              <w:t xml:space="preserve"> </w:t>
            </w:r>
          </w:p>
        </w:tc>
        <w:tc>
          <w:tcPr>
            <w:tcW w:w="1800" w:type="dxa"/>
            <w:tcBorders>
              <w:top w:val="single" w:sz="32" w:space="0" w:color="FFFFFF"/>
              <w:left w:val="single" w:sz="2" w:space="0" w:color="CCCCCC"/>
              <w:bottom w:val="single" w:sz="2" w:space="0" w:color="CCCCCC"/>
              <w:right w:val="single" w:sz="2" w:space="0" w:color="CCCCCC"/>
            </w:tcBorders>
          </w:tcPr>
          <w:p w14:paraId="4732DCF7" w14:textId="77777777" w:rsidR="000F6918" w:rsidRDefault="004D59C4">
            <w:pPr>
              <w:spacing w:after="0" w:line="259" w:lineRule="auto"/>
              <w:ind w:left="0" w:firstLine="0"/>
            </w:pPr>
            <w:r>
              <w:rPr>
                <w:sz w:val="20"/>
              </w:rPr>
              <w:t>50</w:t>
            </w:r>
            <w:r>
              <w:rPr>
                <w:sz w:val="20"/>
              </w:rPr>
              <w:t>–</w:t>
            </w:r>
            <w:r>
              <w:rPr>
                <w:sz w:val="20"/>
              </w:rPr>
              <w:t>600 mg/kg</w:t>
            </w:r>
            <w:r>
              <w:t xml:space="preserve"> </w:t>
            </w:r>
          </w:p>
        </w:tc>
        <w:tc>
          <w:tcPr>
            <w:tcW w:w="4260" w:type="dxa"/>
            <w:tcBorders>
              <w:top w:val="single" w:sz="32" w:space="0" w:color="FFFFFF"/>
              <w:left w:val="single" w:sz="2" w:space="0" w:color="CCCCCC"/>
              <w:bottom w:val="single" w:sz="2" w:space="0" w:color="CCCCCC"/>
              <w:right w:val="single" w:sz="2" w:space="0" w:color="CCCCCC"/>
            </w:tcBorders>
          </w:tcPr>
          <w:p w14:paraId="0553C08B" w14:textId="77777777" w:rsidR="000F6918" w:rsidRDefault="004D59C4">
            <w:pPr>
              <w:spacing w:after="0" w:line="259" w:lineRule="auto"/>
              <w:ind w:left="0" w:firstLine="0"/>
            </w:pPr>
            <w:r>
              <w:rPr>
                <w:sz w:val="20"/>
              </w:rPr>
              <w:t>Meta-</w:t>
            </w:r>
            <w:r>
              <w:rPr>
                <w:sz w:val="20"/>
              </w:rPr>
              <w:t>analysis: Consistent benefits on performance, immunity, microbiota in pigs and poultry</w:t>
            </w:r>
            <w:r>
              <w:t xml:space="preserve"> </w:t>
            </w:r>
          </w:p>
        </w:tc>
      </w:tr>
    </w:tbl>
    <w:p w14:paraId="3639329E" w14:textId="77777777" w:rsidR="000F6918" w:rsidRDefault="004D59C4">
      <w:pPr>
        <w:spacing w:after="0" w:line="259" w:lineRule="auto"/>
        <w:ind w:left="0" w:firstLine="0"/>
      </w:pPr>
      <w:r>
        <w:t xml:space="preserve"> </w:t>
      </w:r>
    </w:p>
    <w:p w14:paraId="4B57B00A" w14:textId="77777777" w:rsidR="000F6918" w:rsidRDefault="004D59C4">
      <w:pPr>
        <w:pStyle w:val="Heading2"/>
        <w:ind w:left="-5" w:right="0"/>
      </w:pPr>
      <w:r>
        <w:t>4. Performance Outcomes at Recommended Inclusion (560</w:t>
      </w:r>
      <w:r>
        <w:t>–</w:t>
      </w:r>
      <w:r>
        <w:t>565 mg/kg)</w:t>
      </w:r>
      <w:r>
        <w:rPr>
          <w:b w:val="0"/>
          <w:color w:val="2E74B5"/>
        </w:rPr>
        <w:t xml:space="preserve"> </w:t>
      </w:r>
    </w:p>
    <w:p w14:paraId="7E0944E6"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666B2BBB" wp14:editId="38797F73">
                <wp:extent cx="6209665" cy="9144"/>
                <wp:effectExtent l="0" t="0" r="0" b="0"/>
                <wp:docPr id="17407" name="Group 17407"/>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41" name="Shape 19141"/>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7407" style="width:488.95pt;height:0.719971pt;mso-position-horizontal-relative:char;mso-position-vertical-relative:line" coordsize="62096,91">
                <v:shape id="Shape 19142"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44A52085" w14:textId="77777777" w:rsidR="000F6918" w:rsidRDefault="004D59C4">
      <w:pPr>
        <w:spacing w:after="110"/>
      </w:pPr>
      <w:r>
        <w:t>Interpolating from published dose-</w:t>
      </w:r>
      <w:r>
        <w:t>response data and applying the high purity of Chitosan 60 FG (99.13%), the following performance improvements are expected when supplementing swine diets at 560</w:t>
      </w:r>
      <w:r>
        <w:t>–</w:t>
      </w:r>
      <w:r>
        <w:t xml:space="preserve">565 mg/kg: </w:t>
      </w:r>
    </w:p>
    <w:p w14:paraId="0DDD56A0" w14:textId="77777777" w:rsidR="000F6918" w:rsidRDefault="004D59C4">
      <w:pPr>
        <w:spacing w:after="54" w:line="259" w:lineRule="auto"/>
        <w:ind w:left="0" w:firstLine="0"/>
      </w:pPr>
      <w:r>
        <w:t xml:space="preserve"> </w:t>
      </w:r>
    </w:p>
    <w:p w14:paraId="7F50F676" w14:textId="77777777" w:rsidR="000F6918" w:rsidRDefault="004D59C4">
      <w:pPr>
        <w:spacing w:after="0" w:line="259" w:lineRule="auto"/>
        <w:ind w:left="0" w:firstLine="0"/>
        <w:jc w:val="right"/>
      </w:pPr>
      <w:r>
        <w:rPr>
          <w:noProof/>
        </w:rPr>
        <w:lastRenderedPageBreak/>
        <w:drawing>
          <wp:inline distT="0" distB="0" distL="0" distR="0" wp14:anchorId="281B2270" wp14:editId="3404FD5A">
            <wp:extent cx="6096000" cy="3429001"/>
            <wp:effectExtent l="0" t="0" r="0" b="0"/>
            <wp:docPr id="1207" name="Picture 1207"/>
            <wp:cNvGraphicFramePr/>
            <a:graphic xmlns:a="http://schemas.openxmlformats.org/drawingml/2006/main">
              <a:graphicData uri="http://schemas.openxmlformats.org/drawingml/2006/picture">
                <pic:pic xmlns:pic="http://schemas.openxmlformats.org/drawingml/2006/picture">
                  <pic:nvPicPr>
                    <pic:cNvPr id="1207" name="Picture 1207"/>
                    <pic:cNvPicPr/>
                  </pic:nvPicPr>
                  <pic:blipFill>
                    <a:blip r:embed="rId9"/>
                    <a:stretch>
                      <a:fillRect/>
                    </a:stretch>
                  </pic:blipFill>
                  <pic:spPr>
                    <a:xfrm>
                      <a:off x="0" y="0"/>
                      <a:ext cx="6096000" cy="3429001"/>
                    </a:xfrm>
                    <a:prstGeom prst="rect">
                      <a:avLst/>
                    </a:prstGeom>
                  </pic:spPr>
                </pic:pic>
              </a:graphicData>
            </a:graphic>
          </wp:inline>
        </w:drawing>
      </w:r>
      <w:r>
        <w:t xml:space="preserve"> </w:t>
      </w:r>
    </w:p>
    <w:p w14:paraId="600C11DD" w14:textId="77777777" w:rsidR="000F6918" w:rsidRDefault="004D59C4">
      <w:pPr>
        <w:spacing w:after="213" w:line="229" w:lineRule="auto"/>
        <w:ind w:left="11" w:right="1"/>
        <w:jc w:val="center"/>
      </w:pPr>
      <w:r>
        <w:rPr>
          <w:i/>
          <w:color w:val="555555"/>
          <w:sz w:val="18"/>
        </w:rPr>
        <w:t>Figure 3. Comparative swine performance metrics: control group vs. chitosan at 560–565 mg/kg. Data synthesized from Xu et al. (2013) and Liu et al. (2008). FCR values represent feed-to-gain ratios (lower is better).</w:t>
      </w:r>
      <w:r>
        <w:t xml:space="preserve"> </w:t>
      </w:r>
    </w:p>
    <w:p w14:paraId="4A163502" w14:textId="77777777" w:rsidR="000F6918" w:rsidRDefault="004D59C4">
      <w:pPr>
        <w:spacing w:after="256" w:line="259" w:lineRule="auto"/>
        <w:ind w:left="0" w:firstLine="0"/>
      </w:pPr>
      <w:r>
        <w:t xml:space="preserve"> </w:t>
      </w:r>
    </w:p>
    <w:p w14:paraId="50FC72E1" w14:textId="77777777" w:rsidR="000F6918" w:rsidRDefault="004D59C4">
      <w:pPr>
        <w:pStyle w:val="Heading3"/>
        <w:spacing w:after="0"/>
        <w:ind w:left="-5"/>
      </w:pPr>
      <w:r>
        <w:t>4.1 Expected Benefits</w:t>
      </w:r>
      <w:r>
        <w:rPr>
          <w:b w:val="0"/>
          <w:color w:val="2E74B5"/>
        </w:rPr>
        <w:t xml:space="preserve"> </w:t>
      </w:r>
    </w:p>
    <w:tbl>
      <w:tblPr>
        <w:tblStyle w:val="TableGrid"/>
        <w:tblW w:w="9360" w:type="dxa"/>
        <w:tblInd w:w="0" w:type="dxa"/>
        <w:tblCellMar>
          <w:top w:w="90" w:type="dxa"/>
          <w:left w:w="120" w:type="dxa"/>
          <w:bottom w:w="0" w:type="dxa"/>
          <w:right w:w="115" w:type="dxa"/>
        </w:tblCellMar>
        <w:tblLook w:val="04A0" w:firstRow="1" w:lastRow="0" w:firstColumn="1" w:lastColumn="0" w:noHBand="0" w:noVBand="1"/>
      </w:tblPr>
      <w:tblGrid>
        <w:gridCol w:w="3120"/>
        <w:gridCol w:w="2120"/>
        <w:gridCol w:w="2121"/>
        <w:gridCol w:w="1999"/>
      </w:tblGrid>
      <w:tr w:rsidR="000F6918" w14:paraId="1CF5C91E" w14:textId="77777777">
        <w:trPr>
          <w:trHeight w:val="592"/>
        </w:trPr>
        <w:tc>
          <w:tcPr>
            <w:tcW w:w="3121" w:type="dxa"/>
            <w:tcBorders>
              <w:top w:val="single" w:sz="33" w:space="0" w:color="1A5276"/>
              <w:left w:val="single" w:sz="2" w:space="0" w:color="1A5276"/>
              <w:bottom w:val="single" w:sz="32" w:space="0" w:color="FFFFFF"/>
              <w:right w:val="single" w:sz="2" w:space="0" w:color="1A5276"/>
            </w:tcBorders>
            <w:shd w:val="clear" w:color="auto" w:fill="1A5276"/>
          </w:tcPr>
          <w:p w14:paraId="7FD003D1" w14:textId="77777777" w:rsidR="000F6918" w:rsidRDefault="004D59C4">
            <w:pPr>
              <w:spacing w:after="0" w:line="259" w:lineRule="auto"/>
              <w:ind w:left="0" w:right="9" w:firstLine="0"/>
              <w:jc w:val="center"/>
            </w:pPr>
            <w:r>
              <w:rPr>
                <w:b/>
                <w:color w:val="FFFFFF"/>
                <w:sz w:val="20"/>
              </w:rPr>
              <w:t>Outcome Parameter</w:t>
            </w:r>
            <w:r>
              <w:t xml:space="preserve"> </w:t>
            </w:r>
          </w:p>
        </w:tc>
        <w:tc>
          <w:tcPr>
            <w:tcW w:w="2121" w:type="dxa"/>
            <w:tcBorders>
              <w:top w:val="single" w:sz="33" w:space="0" w:color="1A5276"/>
              <w:left w:val="single" w:sz="2" w:space="0" w:color="1A5276"/>
              <w:bottom w:val="single" w:sz="32" w:space="0" w:color="FFFFFF"/>
              <w:right w:val="single" w:sz="2" w:space="0" w:color="1A5276"/>
            </w:tcBorders>
            <w:shd w:val="clear" w:color="auto" w:fill="1A5276"/>
          </w:tcPr>
          <w:p w14:paraId="6A2F6036" w14:textId="77777777" w:rsidR="000F6918" w:rsidRDefault="004D59C4">
            <w:pPr>
              <w:spacing w:after="0" w:line="259" w:lineRule="auto"/>
              <w:ind w:left="0" w:right="10" w:firstLine="0"/>
              <w:jc w:val="center"/>
            </w:pPr>
            <w:r>
              <w:rPr>
                <w:b/>
                <w:color w:val="FFFFFF"/>
                <w:sz w:val="20"/>
              </w:rPr>
              <w:t>Control</w:t>
            </w:r>
            <w:r>
              <w:t xml:space="preserve"> </w:t>
            </w:r>
          </w:p>
        </w:tc>
        <w:tc>
          <w:tcPr>
            <w:tcW w:w="2121" w:type="dxa"/>
            <w:tcBorders>
              <w:top w:val="single" w:sz="33" w:space="0" w:color="1A5276"/>
              <w:left w:val="single" w:sz="2" w:space="0" w:color="1A5276"/>
              <w:bottom w:val="single" w:sz="32" w:space="0" w:color="FFFFFF"/>
              <w:right w:val="single" w:sz="2" w:space="0" w:color="1A5276"/>
            </w:tcBorders>
            <w:shd w:val="clear" w:color="auto" w:fill="1A5276"/>
          </w:tcPr>
          <w:p w14:paraId="368AD80D" w14:textId="77777777" w:rsidR="000F6918" w:rsidRDefault="004D59C4">
            <w:pPr>
              <w:spacing w:after="0" w:line="259" w:lineRule="auto"/>
              <w:ind w:left="0" w:firstLine="0"/>
              <w:jc w:val="center"/>
            </w:pPr>
            <w:r>
              <w:rPr>
                <w:b/>
                <w:color w:val="FFFFFF"/>
                <w:sz w:val="20"/>
              </w:rPr>
              <w:t>Chitosan 560–565 mg/kg</w:t>
            </w:r>
            <w:r>
              <w:t xml:space="preserve"> </w:t>
            </w:r>
          </w:p>
        </w:tc>
        <w:tc>
          <w:tcPr>
            <w:tcW w:w="1999" w:type="dxa"/>
            <w:tcBorders>
              <w:top w:val="single" w:sz="33" w:space="0" w:color="1A5276"/>
              <w:left w:val="single" w:sz="2" w:space="0" w:color="1A5276"/>
              <w:bottom w:val="single" w:sz="32" w:space="0" w:color="FFFFFF"/>
              <w:right w:val="single" w:sz="2" w:space="0" w:color="1A5276"/>
            </w:tcBorders>
            <w:shd w:val="clear" w:color="auto" w:fill="1A5276"/>
          </w:tcPr>
          <w:p w14:paraId="078F3BCD" w14:textId="77777777" w:rsidR="000F6918" w:rsidRDefault="004D59C4">
            <w:pPr>
              <w:spacing w:after="0" w:line="259" w:lineRule="auto"/>
              <w:ind w:left="0" w:right="5" w:firstLine="0"/>
              <w:jc w:val="center"/>
            </w:pPr>
            <w:r>
              <w:rPr>
                <w:b/>
                <w:color w:val="FFFFFF"/>
                <w:sz w:val="20"/>
              </w:rPr>
              <w:t>Improvement</w:t>
            </w:r>
            <w:r>
              <w:t xml:space="preserve"> </w:t>
            </w:r>
          </w:p>
        </w:tc>
      </w:tr>
      <w:tr w:rsidR="000F6918" w14:paraId="6ED9E83C" w14:textId="77777777">
        <w:trPr>
          <w:trHeight w:val="424"/>
        </w:trPr>
        <w:tc>
          <w:tcPr>
            <w:tcW w:w="3121" w:type="dxa"/>
            <w:tcBorders>
              <w:top w:val="single" w:sz="32" w:space="0" w:color="FFFFFF"/>
              <w:left w:val="single" w:sz="2" w:space="0" w:color="CCCCCC"/>
              <w:bottom w:val="single" w:sz="2" w:space="0" w:color="CCCCCC"/>
              <w:right w:val="single" w:sz="2" w:space="0" w:color="CCCCCC"/>
            </w:tcBorders>
            <w:vAlign w:val="center"/>
          </w:tcPr>
          <w:p w14:paraId="1C314CBB" w14:textId="77777777" w:rsidR="000F6918" w:rsidRDefault="004D59C4">
            <w:pPr>
              <w:spacing w:after="0" w:line="259" w:lineRule="auto"/>
              <w:ind w:left="0" w:firstLine="0"/>
            </w:pPr>
            <w:r>
              <w:rPr>
                <w:sz w:val="20"/>
              </w:rPr>
              <w:t xml:space="preserve">Average Daily Gain </w:t>
            </w:r>
            <w:proofErr w:type="gramStart"/>
            <w:r>
              <w:rPr>
                <w:sz w:val="20"/>
              </w:rPr>
              <w:t>(g/</w:t>
            </w:r>
            <w:proofErr w:type="gramEnd"/>
            <w:r>
              <w:rPr>
                <w:sz w:val="20"/>
              </w:rPr>
              <w:t>day)</w:t>
            </w:r>
            <w:r>
              <w:t xml:space="preserve"> </w:t>
            </w:r>
          </w:p>
        </w:tc>
        <w:tc>
          <w:tcPr>
            <w:tcW w:w="2121" w:type="dxa"/>
            <w:tcBorders>
              <w:top w:val="single" w:sz="32" w:space="0" w:color="FFFFFF"/>
              <w:left w:val="single" w:sz="2" w:space="0" w:color="CCCCCC"/>
              <w:bottom w:val="single" w:sz="2" w:space="0" w:color="CCCCCC"/>
              <w:right w:val="single" w:sz="2" w:space="0" w:color="CCCCCC"/>
            </w:tcBorders>
            <w:vAlign w:val="center"/>
          </w:tcPr>
          <w:p w14:paraId="2A596AB1" w14:textId="77777777" w:rsidR="000F6918" w:rsidRDefault="004D59C4">
            <w:pPr>
              <w:spacing w:after="0" w:line="259" w:lineRule="auto"/>
              <w:ind w:left="0" w:firstLine="0"/>
            </w:pPr>
            <w:r>
              <w:rPr>
                <w:sz w:val="20"/>
              </w:rPr>
              <w:t>~347</w:t>
            </w:r>
            <w:r>
              <w:t xml:space="preserve"> </w:t>
            </w:r>
          </w:p>
        </w:tc>
        <w:tc>
          <w:tcPr>
            <w:tcW w:w="2121" w:type="dxa"/>
            <w:tcBorders>
              <w:top w:val="single" w:sz="32" w:space="0" w:color="FFFFFF"/>
              <w:left w:val="single" w:sz="2" w:space="0" w:color="CCCCCC"/>
              <w:bottom w:val="single" w:sz="2" w:space="0" w:color="CCCCCC"/>
              <w:right w:val="single" w:sz="2" w:space="0" w:color="CCCCCC"/>
            </w:tcBorders>
            <w:vAlign w:val="center"/>
          </w:tcPr>
          <w:p w14:paraId="435ECA17" w14:textId="77777777" w:rsidR="000F6918" w:rsidRDefault="004D59C4">
            <w:pPr>
              <w:spacing w:after="0" w:line="259" w:lineRule="auto"/>
              <w:ind w:left="2" w:firstLine="0"/>
            </w:pPr>
            <w:r>
              <w:rPr>
                <w:sz w:val="20"/>
              </w:rPr>
              <w:t>~413</w:t>
            </w:r>
            <w:r>
              <w:t xml:space="preserve"> </w:t>
            </w:r>
          </w:p>
        </w:tc>
        <w:tc>
          <w:tcPr>
            <w:tcW w:w="1999" w:type="dxa"/>
            <w:tcBorders>
              <w:top w:val="single" w:sz="32" w:space="0" w:color="FFFFFF"/>
              <w:left w:val="single" w:sz="2" w:space="0" w:color="CCCCCC"/>
              <w:bottom w:val="single" w:sz="32" w:space="0" w:color="EAF2FB"/>
              <w:right w:val="single" w:sz="2" w:space="0" w:color="CCCCCC"/>
            </w:tcBorders>
            <w:vAlign w:val="center"/>
          </w:tcPr>
          <w:p w14:paraId="267B9A44" w14:textId="77777777" w:rsidR="000F6918" w:rsidRDefault="004D59C4">
            <w:pPr>
              <w:spacing w:after="0" w:line="259" w:lineRule="auto"/>
              <w:ind w:left="0" w:firstLine="0"/>
            </w:pPr>
            <w:r>
              <w:rPr>
                <w:sz w:val="20"/>
              </w:rPr>
              <w:t>+19%</w:t>
            </w:r>
            <w:r>
              <w:t xml:space="preserve"> </w:t>
            </w:r>
          </w:p>
        </w:tc>
      </w:tr>
      <w:tr w:rsidR="000F6918" w14:paraId="63265252" w14:textId="77777777">
        <w:trPr>
          <w:trHeight w:val="361"/>
        </w:trPr>
        <w:tc>
          <w:tcPr>
            <w:tcW w:w="3121" w:type="dxa"/>
            <w:tcBorders>
              <w:top w:val="single" w:sz="2" w:space="0" w:color="CCCCCC"/>
              <w:left w:val="single" w:sz="2" w:space="0" w:color="CCCCCC"/>
              <w:bottom w:val="single" w:sz="2" w:space="0" w:color="CCCCCC"/>
              <w:right w:val="single" w:sz="2" w:space="0" w:color="CCCCCC"/>
            </w:tcBorders>
            <w:shd w:val="clear" w:color="auto" w:fill="EAF2FB"/>
          </w:tcPr>
          <w:p w14:paraId="38AF3537" w14:textId="77777777" w:rsidR="000F6918" w:rsidRDefault="004D59C4">
            <w:pPr>
              <w:spacing w:after="0" w:line="259" w:lineRule="auto"/>
              <w:ind w:left="0" w:firstLine="0"/>
            </w:pPr>
            <w:r>
              <w:rPr>
                <w:sz w:val="20"/>
              </w:rPr>
              <w:t>Feed Conversion Ratio</w:t>
            </w:r>
            <w:r>
              <w:t xml:space="preserve"> </w:t>
            </w:r>
          </w:p>
        </w:tc>
        <w:tc>
          <w:tcPr>
            <w:tcW w:w="2121" w:type="dxa"/>
            <w:tcBorders>
              <w:top w:val="single" w:sz="2" w:space="0" w:color="CCCCCC"/>
              <w:left w:val="single" w:sz="2" w:space="0" w:color="CCCCCC"/>
              <w:bottom w:val="single" w:sz="2" w:space="0" w:color="CCCCCC"/>
              <w:right w:val="single" w:sz="2" w:space="0" w:color="CCCCCC"/>
            </w:tcBorders>
            <w:shd w:val="clear" w:color="auto" w:fill="EAF2FB"/>
          </w:tcPr>
          <w:p w14:paraId="34995CB7" w14:textId="77777777" w:rsidR="000F6918" w:rsidRDefault="004D59C4">
            <w:pPr>
              <w:spacing w:after="0" w:line="259" w:lineRule="auto"/>
              <w:ind w:left="0" w:firstLine="0"/>
            </w:pPr>
            <w:r>
              <w:rPr>
                <w:sz w:val="20"/>
              </w:rPr>
              <w:t>~1.62</w:t>
            </w:r>
            <w:r>
              <w:t xml:space="preserve"> </w:t>
            </w:r>
          </w:p>
        </w:tc>
        <w:tc>
          <w:tcPr>
            <w:tcW w:w="2121" w:type="dxa"/>
            <w:tcBorders>
              <w:top w:val="single" w:sz="2" w:space="0" w:color="CCCCCC"/>
              <w:left w:val="single" w:sz="2" w:space="0" w:color="CCCCCC"/>
              <w:bottom w:val="single" w:sz="32" w:space="0" w:color="FFFFFF"/>
              <w:right w:val="single" w:sz="2" w:space="0" w:color="CCCCCC"/>
            </w:tcBorders>
            <w:shd w:val="clear" w:color="auto" w:fill="EAF2FB"/>
          </w:tcPr>
          <w:p w14:paraId="7A86BB3C" w14:textId="77777777" w:rsidR="000F6918" w:rsidRDefault="004D59C4">
            <w:pPr>
              <w:spacing w:after="0" w:line="259" w:lineRule="auto"/>
              <w:ind w:left="2" w:firstLine="0"/>
            </w:pPr>
            <w:r>
              <w:rPr>
                <w:sz w:val="20"/>
              </w:rPr>
              <w:t>~1.44</w:t>
            </w:r>
            <w:r>
              <w:t xml:space="preserve"> </w:t>
            </w:r>
          </w:p>
        </w:tc>
        <w:tc>
          <w:tcPr>
            <w:tcW w:w="1999" w:type="dxa"/>
            <w:tcBorders>
              <w:top w:val="single" w:sz="32" w:space="0" w:color="EAF2FB"/>
              <w:left w:val="single" w:sz="2" w:space="0" w:color="CCCCCC"/>
              <w:bottom w:val="single" w:sz="32" w:space="0" w:color="FFFFFF"/>
              <w:right w:val="single" w:sz="2" w:space="0" w:color="CCCCCC"/>
            </w:tcBorders>
            <w:shd w:val="clear" w:color="auto" w:fill="EAF2FB"/>
          </w:tcPr>
          <w:p w14:paraId="1DC9D613" w14:textId="77777777" w:rsidR="000F6918" w:rsidRDefault="004D59C4">
            <w:pPr>
              <w:spacing w:after="0" w:line="259" w:lineRule="auto"/>
              <w:ind w:left="0" w:firstLine="0"/>
            </w:pPr>
            <w:r>
              <w:rPr>
                <w:sz w:val="20"/>
              </w:rPr>
              <w:t>-11%</w:t>
            </w:r>
            <w:r>
              <w:t xml:space="preserve"> </w:t>
            </w:r>
          </w:p>
        </w:tc>
      </w:tr>
      <w:tr w:rsidR="000F6918" w14:paraId="6FB3CF46" w14:textId="77777777">
        <w:trPr>
          <w:trHeight w:val="422"/>
        </w:trPr>
        <w:tc>
          <w:tcPr>
            <w:tcW w:w="3121" w:type="dxa"/>
            <w:tcBorders>
              <w:top w:val="single" w:sz="2" w:space="0" w:color="CCCCCC"/>
              <w:left w:val="single" w:sz="2" w:space="0" w:color="CCCCCC"/>
              <w:bottom w:val="single" w:sz="32" w:space="0" w:color="EAF2FB"/>
              <w:right w:val="single" w:sz="2" w:space="0" w:color="CCCCCC"/>
            </w:tcBorders>
            <w:vAlign w:val="center"/>
          </w:tcPr>
          <w:p w14:paraId="5030EF33" w14:textId="77777777" w:rsidR="000F6918" w:rsidRDefault="004D59C4">
            <w:pPr>
              <w:spacing w:after="0" w:line="259" w:lineRule="auto"/>
              <w:ind w:left="0" w:firstLine="0"/>
            </w:pPr>
            <w:r>
              <w:rPr>
                <w:sz w:val="20"/>
              </w:rPr>
              <w:t>Diarrhea Incidence (%)</w:t>
            </w:r>
            <w:r>
              <w:t xml:space="preserve"> </w:t>
            </w:r>
          </w:p>
        </w:tc>
        <w:tc>
          <w:tcPr>
            <w:tcW w:w="2121" w:type="dxa"/>
            <w:tcBorders>
              <w:top w:val="single" w:sz="2" w:space="0" w:color="CCCCCC"/>
              <w:left w:val="single" w:sz="2" w:space="0" w:color="CCCCCC"/>
              <w:bottom w:val="single" w:sz="32" w:space="0" w:color="EAF2FB"/>
              <w:right w:val="single" w:sz="2" w:space="0" w:color="CCCCCC"/>
            </w:tcBorders>
            <w:vAlign w:val="center"/>
          </w:tcPr>
          <w:p w14:paraId="00556873" w14:textId="77777777" w:rsidR="000F6918" w:rsidRDefault="004D59C4">
            <w:pPr>
              <w:spacing w:after="0" w:line="259" w:lineRule="auto"/>
              <w:ind w:left="0" w:firstLine="0"/>
            </w:pPr>
            <w:r>
              <w:rPr>
                <w:sz w:val="20"/>
              </w:rPr>
              <w:t>~28%</w:t>
            </w:r>
            <w:r>
              <w:t xml:space="preserve"> </w:t>
            </w:r>
          </w:p>
        </w:tc>
        <w:tc>
          <w:tcPr>
            <w:tcW w:w="2121" w:type="dxa"/>
            <w:tcBorders>
              <w:top w:val="single" w:sz="32" w:space="0" w:color="FFFFFF"/>
              <w:left w:val="single" w:sz="2" w:space="0" w:color="CCCCCC"/>
              <w:bottom w:val="single" w:sz="32" w:space="0" w:color="EAF2FB"/>
              <w:right w:val="single" w:sz="2" w:space="0" w:color="CCCCCC"/>
            </w:tcBorders>
            <w:vAlign w:val="center"/>
          </w:tcPr>
          <w:p w14:paraId="6794ACFC" w14:textId="77777777" w:rsidR="000F6918" w:rsidRDefault="004D59C4">
            <w:pPr>
              <w:spacing w:after="0" w:line="259" w:lineRule="auto"/>
              <w:ind w:left="2" w:firstLine="0"/>
            </w:pPr>
            <w:r>
              <w:rPr>
                <w:sz w:val="20"/>
              </w:rPr>
              <w:t>~11%</w:t>
            </w:r>
            <w:r>
              <w:t xml:space="preserve"> </w:t>
            </w:r>
          </w:p>
        </w:tc>
        <w:tc>
          <w:tcPr>
            <w:tcW w:w="1999" w:type="dxa"/>
            <w:tcBorders>
              <w:top w:val="single" w:sz="32" w:space="0" w:color="FFFFFF"/>
              <w:left w:val="single" w:sz="2" w:space="0" w:color="CCCCCC"/>
              <w:bottom w:val="single" w:sz="32" w:space="0" w:color="EAF2FB"/>
              <w:right w:val="single" w:sz="2" w:space="0" w:color="CCCCCC"/>
            </w:tcBorders>
            <w:vAlign w:val="center"/>
          </w:tcPr>
          <w:p w14:paraId="4DBD3C01" w14:textId="77777777" w:rsidR="000F6918" w:rsidRDefault="004D59C4">
            <w:pPr>
              <w:spacing w:after="0" w:line="259" w:lineRule="auto"/>
              <w:ind w:left="0" w:firstLine="0"/>
            </w:pPr>
            <w:r>
              <w:rPr>
                <w:sz w:val="20"/>
              </w:rPr>
              <w:t>-61%</w:t>
            </w:r>
            <w:r>
              <w:t xml:space="preserve"> </w:t>
            </w:r>
          </w:p>
        </w:tc>
      </w:tr>
      <w:tr w:rsidR="000F6918" w14:paraId="6BCB3882" w14:textId="77777777">
        <w:trPr>
          <w:trHeight w:val="364"/>
        </w:trPr>
        <w:tc>
          <w:tcPr>
            <w:tcW w:w="3121" w:type="dxa"/>
            <w:tcBorders>
              <w:top w:val="single" w:sz="32" w:space="0" w:color="EAF2FB"/>
              <w:left w:val="single" w:sz="2" w:space="0" w:color="CCCCCC"/>
              <w:bottom w:val="single" w:sz="32" w:space="0" w:color="FFFFFF"/>
              <w:right w:val="single" w:sz="2" w:space="0" w:color="CCCCCC"/>
            </w:tcBorders>
            <w:shd w:val="clear" w:color="auto" w:fill="EAF2FB"/>
          </w:tcPr>
          <w:p w14:paraId="60239342" w14:textId="77777777" w:rsidR="000F6918" w:rsidRDefault="004D59C4">
            <w:pPr>
              <w:spacing w:after="0" w:line="259" w:lineRule="auto"/>
              <w:ind w:left="0" w:firstLine="0"/>
            </w:pPr>
            <w:r>
              <w:rPr>
                <w:sz w:val="20"/>
              </w:rPr>
              <w:t>Villus Height (relative)</w:t>
            </w:r>
            <w:r>
              <w:t xml:space="preserve"> </w:t>
            </w:r>
          </w:p>
        </w:tc>
        <w:tc>
          <w:tcPr>
            <w:tcW w:w="2121" w:type="dxa"/>
            <w:tcBorders>
              <w:top w:val="single" w:sz="32" w:space="0" w:color="EAF2FB"/>
              <w:left w:val="single" w:sz="2" w:space="0" w:color="CCCCCC"/>
              <w:bottom w:val="single" w:sz="32" w:space="0" w:color="FFFFFF"/>
              <w:right w:val="single" w:sz="2" w:space="0" w:color="CCCCCC"/>
            </w:tcBorders>
            <w:shd w:val="clear" w:color="auto" w:fill="EAF2FB"/>
          </w:tcPr>
          <w:p w14:paraId="4FD53B4B" w14:textId="77777777" w:rsidR="000F6918" w:rsidRDefault="004D59C4">
            <w:pPr>
              <w:spacing w:after="0" w:line="259" w:lineRule="auto"/>
              <w:ind w:left="0" w:firstLine="0"/>
            </w:pPr>
            <w:r>
              <w:rPr>
                <w:sz w:val="20"/>
              </w:rPr>
              <w:t>100</w:t>
            </w:r>
            <w:r>
              <w:t xml:space="preserve"> </w:t>
            </w:r>
          </w:p>
        </w:tc>
        <w:tc>
          <w:tcPr>
            <w:tcW w:w="2121" w:type="dxa"/>
            <w:tcBorders>
              <w:top w:val="single" w:sz="32" w:space="0" w:color="EAF2FB"/>
              <w:left w:val="single" w:sz="2" w:space="0" w:color="CCCCCC"/>
              <w:bottom w:val="single" w:sz="32" w:space="0" w:color="FFFFFF"/>
              <w:right w:val="single" w:sz="2" w:space="0" w:color="CCCCCC"/>
            </w:tcBorders>
            <w:shd w:val="clear" w:color="auto" w:fill="EAF2FB"/>
          </w:tcPr>
          <w:p w14:paraId="425090CD" w14:textId="77777777" w:rsidR="000F6918" w:rsidRDefault="004D59C4">
            <w:pPr>
              <w:spacing w:after="0" w:line="259" w:lineRule="auto"/>
              <w:ind w:left="2" w:firstLine="0"/>
            </w:pPr>
            <w:r>
              <w:rPr>
                <w:sz w:val="20"/>
              </w:rPr>
              <w:t>~127</w:t>
            </w:r>
            <w:r>
              <w:t xml:space="preserve"> </w:t>
            </w:r>
          </w:p>
        </w:tc>
        <w:tc>
          <w:tcPr>
            <w:tcW w:w="1999" w:type="dxa"/>
            <w:tcBorders>
              <w:top w:val="single" w:sz="32" w:space="0" w:color="EAF2FB"/>
              <w:left w:val="single" w:sz="2" w:space="0" w:color="CCCCCC"/>
              <w:bottom w:val="single" w:sz="32" w:space="0" w:color="FFFFFF"/>
              <w:right w:val="single" w:sz="2" w:space="0" w:color="CCCCCC"/>
            </w:tcBorders>
            <w:shd w:val="clear" w:color="auto" w:fill="EAF2FB"/>
          </w:tcPr>
          <w:p w14:paraId="27CFD92C" w14:textId="77777777" w:rsidR="000F6918" w:rsidRDefault="004D59C4">
            <w:pPr>
              <w:spacing w:after="0" w:line="259" w:lineRule="auto"/>
              <w:ind w:left="0" w:firstLine="0"/>
            </w:pPr>
            <w:r>
              <w:rPr>
                <w:sz w:val="20"/>
              </w:rPr>
              <w:t>+27%</w:t>
            </w:r>
            <w:r>
              <w:t xml:space="preserve"> </w:t>
            </w:r>
          </w:p>
        </w:tc>
      </w:tr>
      <w:tr w:rsidR="000F6918" w14:paraId="14404950" w14:textId="77777777">
        <w:trPr>
          <w:trHeight w:val="421"/>
        </w:trPr>
        <w:tc>
          <w:tcPr>
            <w:tcW w:w="3121" w:type="dxa"/>
            <w:tcBorders>
              <w:top w:val="single" w:sz="32" w:space="0" w:color="FFFFFF"/>
              <w:left w:val="single" w:sz="2" w:space="0" w:color="CCCCCC"/>
              <w:bottom w:val="single" w:sz="2" w:space="0" w:color="CCCCCC"/>
              <w:right w:val="single" w:sz="2" w:space="0" w:color="CCCCCC"/>
            </w:tcBorders>
            <w:vAlign w:val="center"/>
          </w:tcPr>
          <w:p w14:paraId="6E43D706" w14:textId="77777777" w:rsidR="000F6918" w:rsidRDefault="004D59C4">
            <w:pPr>
              <w:spacing w:after="0" w:line="259" w:lineRule="auto"/>
              <w:ind w:left="0" w:firstLine="0"/>
            </w:pPr>
            <w:r>
              <w:rPr>
                <w:sz w:val="20"/>
              </w:rPr>
              <w:t>Serum IgG (relative)</w:t>
            </w:r>
            <w:r>
              <w:t xml:space="preserve"> </w:t>
            </w:r>
          </w:p>
        </w:tc>
        <w:tc>
          <w:tcPr>
            <w:tcW w:w="2121" w:type="dxa"/>
            <w:tcBorders>
              <w:top w:val="single" w:sz="32" w:space="0" w:color="FFFFFF"/>
              <w:left w:val="single" w:sz="2" w:space="0" w:color="CCCCCC"/>
              <w:bottom w:val="single" w:sz="2" w:space="0" w:color="CCCCCC"/>
              <w:right w:val="single" w:sz="2" w:space="0" w:color="CCCCCC"/>
            </w:tcBorders>
            <w:vAlign w:val="center"/>
          </w:tcPr>
          <w:p w14:paraId="3B9CEE80" w14:textId="77777777" w:rsidR="000F6918" w:rsidRDefault="004D59C4">
            <w:pPr>
              <w:spacing w:after="0" w:line="259" w:lineRule="auto"/>
              <w:ind w:left="0" w:firstLine="0"/>
            </w:pPr>
            <w:r>
              <w:rPr>
                <w:sz w:val="20"/>
              </w:rPr>
              <w:t>100</w:t>
            </w:r>
            <w:r>
              <w:t xml:space="preserve"> </w:t>
            </w:r>
          </w:p>
        </w:tc>
        <w:tc>
          <w:tcPr>
            <w:tcW w:w="2121" w:type="dxa"/>
            <w:tcBorders>
              <w:top w:val="single" w:sz="32" w:space="0" w:color="FFFFFF"/>
              <w:left w:val="single" w:sz="2" w:space="0" w:color="CCCCCC"/>
              <w:bottom w:val="single" w:sz="2" w:space="0" w:color="CCCCCC"/>
              <w:right w:val="single" w:sz="2" w:space="0" w:color="CCCCCC"/>
            </w:tcBorders>
            <w:vAlign w:val="center"/>
          </w:tcPr>
          <w:p w14:paraId="0E767EF1" w14:textId="77777777" w:rsidR="000F6918" w:rsidRDefault="004D59C4">
            <w:pPr>
              <w:spacing w:after="0" w:line="259" w:lineRule="auto"/>
              <w:ind w:left="2" w:firstLine="0"/>
            </w:pPr>
            <w:r>
              <w:rPr>
                <w:sz w:val="20"/>
              </w:rPr>
              <w:t>~118</w:t>
            </w:r>
            <w:r>
              <w:t xml:space="preserve"> </w:t>
            </w:r>
          </w:p>
        </w:tc>
        <w:tc>
          <w:tcPr>
            <w:tcW w:w="1999" w:type="dxa"/>
            <w:tcBorders>
              <w:top w:val="single" w:sz="32" w:space="0" w:color="FFFFFF"/>
              <w:left w:val="single" w:sz="2" w:space="0" w:color="CCCCCC"/>
              <w:bottom w:val="single" w:sz="32" w:space="0" w:color="EAF2FB"/>
              <w:right w:val="single" w:sz="2" w:space="0" w:color="CCCCCC"/>
            </w:tcBorders>
            <w:vAlign w:val="center"/>
          </w:tcPr>
          <w:p w14:paraId="72F0A03D" w14:textId="77777777" w:rsidR="000F6918" w:rsidRDefault="004D59C4">
            <w:pPr>
              <w:spacing w:after="0" w:line="259" w:lineRule="auto"/>
              <w:ind w:left="0" w:firstLine="0"/>
            </w:pPr>
            <w:r>
              <w:rPr>
                <w:sz w:val="20"/>
              </w:rPr>
              <w:t>+18%</w:t>
            </w:r>
            <w:r>
              <w:t xml:space="preserve"> </w:t>
            </w:r>
          </w:p>
        </w:tc>
      </w:tr>
      <w:tr w:rsidR="000F6918" w14:paraId="16012E54" w14:textId="77777777">
        <w:trPr>
          <w:trHeight w:val="331"/>
        </w:trPr>
        <w:tc>
          <w:tcPr>
            <w:tcW w:w="3121" w:type="dxa"/>
            <w:tcBorders>
              <w:top w:val="single" w:sz="2" w:space="0" w:color="CCCCCC"/>
              <w:left w:val="single" w:sz="2" w:space="0" w:color="CCCCCC"/>
              <w:bottom w:val="single" w:sz="2" w:space="0" w:color="CCCCCC"/>
              <w:right w:val="single" w:sz="2" w:space="0" w:color="CCCCCC"/>
            </w:tcBorders>
            <w:shd w:val="clear" w:color="auto" w:fill="EAF2FB"/>
          </w:tcPr>
          <w:p w14:paraId="01492D00" w14:textId="77777777" w:rsidR="000F6918" w:rsidRDefault="004D59C4">
            <w:pPr>
              <w:spacing w:after="0" w:line="259" w:lineRule="auto"/>
              <w:ind w:left="0" w:firstLine="0"/>
            </w:pPr>
            <w:r>
              <w:rPr>
                <w:sz w:val="20"/>
              </w:rPr>
              <w:t>Lactobacillus (CFU, log)</w:t>
            </w:r>
            <w:r>
              <w:t xml:space="preserve"> </w:t>
            </w:r>
          </w:p>
        </w:tc>
        <w:tc>
          <w:tcPr>
            <w:tcW w:w="2121" w:type="dxa"/>
            <w:tcBorders>
              <w:top w:val="single" w:sz="2" w:space="0" w:color="CCCCCC"/>
              <w:left w:val="single" w:sz="2" w:space="0" w:color="CCCCCC"/>
              <w:bottom w:val="single" w:sz="2" w:space="0" w:color="CCCCCC"/>
              <w:right w:val="single" w:sz="2" w:space="0" w:color="CCCCCC"/>
            </w:tcBorders>
            <w:shd w:val="clear" w:color="auto" w:fill="EAF2FB"/>
          </w:tcPr>
          <w:p w14:paraId="6F500F8C" w14:textId="77777777" w:rsidR="000F6918" w:rsidRDefault="004D59C4">
            <w:pPr>
              <w:spacing w:after="0" w:line="259" w:lineRule="auto"/>
              <w:ind w:left="0" w:firstLine="0"/>
            </w:pPr>
            <w:r>
              <w:rPr>
                <w:sz w:val="20"/>
              </w:rPr>
              <w:t>~6.8</w:t>
            </w:r>
            <w:r>
              <w:t xml:space="preserve"> </w:t>
            </w:r>
          </w:p>
        </w:tc>
        <w:tc>
          <w:tcPr>
            <w:tcW w:w="2121" w:type="dxa"/>
            <w:tcBorders>
              <w:top w:val="single" w:sz="2" w:space="0" w:color="CCCCCC"/>
              <w:left w:val="single" w:sz="2" w:space="0" w:color="CCCCCC"/>
              <w:bottom w:val="single" w:sz="2" w:space="0" w:color="CCCCCC"/>
              <w:right w:val="single" w:sz="2" w:space="0" w:color="CCCCCC"/>
            </w:tcBorders>
            <w:shd w:val="clear" w:color="auto" w:fill="EAF2FB"/>
          </w:tcPr>
          <w:p w14:paraId="6D7150B0" w14:textId="77777777" w:rsidR="000F6918" w:rsidRDefault="004D59C4">
            <w:pPr>
              <w:spacing w:after="0" w:line="259" w:lineRule="auto"/>
              <w:ind w:left="2" w:firstLine="0"/>
            </w:pPr>
            <w:r>
              <w:rPr>
                <w:sz w:val="20"/>
              </w:rPr>
              <w:t>~7.9</w:t>
            </w:r>
            <w:r>
              <w:t xml:space="preserve"> </w:t>
            </w:r>
          </w:p>
        </w:tc>
        <w:tc>
          <w:tcPr>
            <w:tcW w:w="1999" w:type="dxa"/>
            <w:tcBorders>
              <w:top w:val="single" w:sz="32" w:space="0" w:color="EAF2FB"/>
              <w:left w:val="single" w:sz="2" w:space="0" w:color="CCCCCC"/>
              <w:bottom w:val="single" w:sz="2" w:space="0" w:color="CCCCCC"/>
              <w:right w:val="single" w:sz="2" w:space="0" w:color="CCCCCC"/>
            </w:tcBorders>
            <w:shd w:val="clear" w:color="auto" w:fill="EAF2FB"/>
          </w:tcPr>
          <w:p w14:paraId="2F316BCC" w14:textId="77777777" w:rsidR="000F6918" w:rsidRDefault="004D59C4">
            <w:pPr>
              <w:spacing w:after="0" w:line="259" w:lineRule="auto"/>
              <w:ind w:left="0" w:firstLine="0"/>
            </w:pPr>
            <w:r>
              <w:rPr>
                <w:sz w:val="20"/>
              </w:rPr>
              <w:t>+16%</w:t>
            </w:r>
            <w:r>
              <w:t xml:space="preserve"> </w:t>
            </w:r>
          </w:p>
        </w:tc>
      </w:tr>
    </w:tbl>
    <w:p w14:paraId="465B0F5A" w14:textId="77777777" w:rsidR="000F6918" w:rsidRDefault="004D59C4">
      <w:pPr>
        <w:spacing w:after="11" w:line="259" w:lineRule="auto"/>
        <w:ind w:left="0" w:firstLine="0"/>
      </w:pPr>
      <w:r>
        <w:t xml:space="preserve"> </w:t>
      </w:r>
    </w:p>
    <w:p w14:paraId="2E68CA6F" w14:textId="77777777" w:rsidR="000F6918" w:rsidRDefault="004D59C4">
      <w:pPr>
        <w:spacing w:after="92" w:line="228" w:lineRule="auto"/>
        <w:ind w:left="0" w:firstLine="0"/>
      </w:pPr>
      <w:r>
        <w:rPr>
          <w:i/>
          <w:color w:val="666666"/>
          <w:sz w:val="19"/>
        </w:rPr>
        <w:t>Note: Values are synthesized from multiple controlled trials and adjusted for product purity. Actual outcomes will vary with farm conditions, health status, basal diet composition, and management practices.</w:t>
      </w:r>
      <w:r>
        <w:t xml:space="preserve"> </w:t>
      </w:r>
    </w:p>
    <w:p w14:paraId="052ADCE5" w14:textId="77777777" w:rsidR="000F6918" w:rsidRDefault="004D59C4">
      <w:pPr>
        <w:spacing w:after="0" w:line="259" w:lineRule="auto"/>
        <w:ind w:left="0" w:firstLine="0"/>
      </w:pPr>
      <w:r>
        <w:t xml:space="preserve"> </w:t>
      </w:r>
      <w:r>
        <w:tab/>
        <w:t xml:space="preserve"> </w:t>
      </w:r>
    </w:p>
    <w:p w14:paraId="5868E521" w14:textId="77777777" w:rsidR="000F6918" w:rsidRDefault="004D59C4">
      <w:pPr>
        <w:pStyle w:val="Heading2"/>
        <w:ind w:left="-5" w:right="0"/>
      </w:pPr>
      <w:r>
        <w:t>5. Gut Microbiota Effects</w:t>
      </w:r>
      <w:r>
        <w:rPr>
          <w:b w:val="0"/>
          <w:color w:val="2E74B5"/>
        </w:rPr>
        <w:t xml:space="preserve"> </w:t>
      </w:r>
    </w:p>
    <w:p w14:paraId="4B2AF5B5"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3E78374B" wp14:editId="24EE0AAB">
                <wp:extent cx="6209665" cy="9144"/>
                <wp:effectExtent l="0" t="0" r="0" b="0"/>
                <wp:docPr id="15338" name="Group 15338"/>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43" name="Shape 19143"/>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5338" style="width:488.95pt;height:0.719971pt;mso-position-horizontal-relative:char;mso-position-vertical-relative:line" coordsize="62096,91">
                <v:shape id="Shape 19144"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4A210EF9" w14:textId="77777777" w:rsidR="000F6918" w:rsidRDefault="004D59C4">
      <w:pPr>
        <w:spacing w:after="113"/>
      </w:pPr>
      <w:r>
        <w:t>One of the most significant and consistent findings across chitosan supplementation trials is the favorable modulation of the intestinal microbiome. At inclusion levels near 560</w:t>
      </w:r>
      <w:r>
        <w:t>–</w:t>
      </w:r>
      <w:r>
        <w:t xml:space="preserve">565 mg/kg, chitosan </w:t>
      </w:r>
      <w:r>
        <w:lastRenderedPageBreak/>
        <w:t xml:space="preserve">oligosaccharides selectively promote beneficial microorganisms while suppressing pathogenic bacteria, functioning as a natural prebiotic with antimicrobial synergy. </w:t>
      </w:r>
    </w:p>
    <w:p w14:paraId="714847B6" w14:textId="77777777" w:rsidR="000F6918" w:rsidRDefault="004D59C4">
      <w:pPr>
        <w:spacing w:after="52" w:line="259" w:lineRule="auto"/>
        <w:ind w:left="0" w:firstLine="0"/>
      </w:pPr>
      <w:r>
        <w:t xml:space="preserve"> </w:t>
      </w:r>
    </w:p>
    <w:p w14:paraId="7CF40879" w14:textId="77777777" w:rsidR="000F6918" w:rsidRDefault="004D59C4">
      <w:pPr>
        <w:spacing w:after="0" w:line="259" w:lineRule="auto"/>
        <w:ind w:left="0" w:right="300" w:firstLine="0"/>
        <w:jc w:val="right"/>
      </w:pPr>
      <w:r>
        <w:rPr>
          <w:noProof/>
        </w:rPr>
        <w:drawing>
          <wp:inline distT="0" distB="0" distL="0" distR="0" wp14:anchorId="5B1C1477" wp14:editId="5F4A0AF8">
            <wp:extent cx="5715000" cy="2571750"/>
            <wp:effectExtent l="0" t="0" r="0" b="0"/>
            <wp:docPr id="1370" name="Picture 1370"/>
            <wp:cNvGraphicFramePr/>
            <a:graphic xmlns:a="http://schemas.openxmlformats.org/drawingml/2006/main">
              <a:graphicData uri="http://schemas.openxmlformats.org/drawingml/2006/picture">
                <pic:pic xmlns:pic="http://schemas.openxmlformats.org/drawingml/2006/picture">
                  <pic:nvPicPr>
                    <pic:cNvPr id="1370" name="Picture 1370"/>
                    <pic:cNvPicPr/>
                  </pic:nvPicPr>
                  <pic:blipFill>
                    <a:blip r:embed="rId10"/>
                    <a:stretch>
                      <a:fillRect/>
                    </a:stretch>
                  </pic:blipFill>
                  <pic:spPr>
                    <a:xfrm>
                      <a:off x="0" y="0"/>
                      <a:ext cx="5715000" cy="2571750"/>
                    </a:xfrm>
                    <a:prstGeom prst="rect">
                      <a:avLst/>
                    </a:prstGeom>
                  </pic:spPr>
                </pic:pic>
              </a:graphicData>
            </a:graphic>
          </wp:inline>
        </w:drawing>
      </w:r>
      <w:r>
        <w:t xml:space="preserve"> </w:t>
      </w:r>
    </w:p>
    <w:p w14:paraId="38F617CC" w14:textId="77777777" w:rsidR="000F6918" w:rsidRDefault="004D59C4">
      <w:pPr>
        <w:spacing w:after="213" w:line="229" w:lineRule="auto"/>
        <w:ind w:left="11" w:right="1"/>
        <w:jc w:val="center"/>
      </w:pPr>
      <w:r>
        <w:rPr>
          <w:i/>
          <w:color w:val="555555"/>
          <w:sz w:val="18"/>
        </w:rPr>
        <w:t xml:space="preserve">Figure 4. Representative gut microbiota profiles in weaned piglets: </w:t>
      </w:r>
      <w:proofErr w:type="spellStart"/>
      <w:r>
        <w:rPr>
          <w:i/>
          <w:color w:val="555555"/>
          <w:sz w:val="18"/>
        </w:rPr>
        <w:t>unsupplemented</w:t>
      </w:r>
      <w:proofErr w:type="spellEnd"/>
      <w:r>
        <w:rPr>
          <w:i/>
          <w:color w:val="555555"/>
          <w:sz w:val="18"/>
        </w:rPr>
        <w:t xml:space="preserve"> control vs. chitosan at 560–565 mg/kg. Based on compositional data from Liu et al. (2008) and Yang et al. (2012).</w:t>
      </w:r>
      <w:r>
        <w:t xml:space="preserve"> </w:t>
      </w:r>
    </w:p>
    <w:p w14:paraId="53FBC11A" w14:textId="77777777" w:rsidR="000F6918" w:rsidRDefault="004D59C4">
      <w:pPr>
        <w:spacing w:after="254" w:line="259" w:lineRule="auto"/>
        <w:ind w:left="0" w:firstLine="0"/>
      </w:pPr>
      <w:r>
        <w:t xml:space="preserve"> </w:t>
      </w:r>
    </w:p>
    <w:p w14:paraId="7C2BF409" w14:textId="77777777" w:rsidR="000F6918" w:rsidRDefault="004D59C4">
      <w:pPr>
        <w:pStyle w:val="Heading3"/>
        <w:ind w:left="-5"/>
      </w:pPr>
      <w:r>
        <w:t>5.1 Microbiota Findings Summary</w:t>
      </w:r>
      <w:r>
        <w:rPr>
          <w:b w:val="0"/>
          <w:color w:val="2E74B5"/>
        </w:rPr>
        <w:t xml:space="preserve"> </w:t>
      </w:r>
    </w:p>
    <w:p w14:paraId="3D3DE532" w14:textId="77777777" w:rsidR="000F6918" w:rsidRDefault="004D59C4">
      <w:pPr>
        <w:numPr>
          <w:ilvl w:val="0"/>
          <w:numId w:val="2"/>
        </w:numPr>
        <w:ind w:hanging="360"/>
      </w:pPr>
      <w:r>
        <w:t xml:space="preserve">Significant increase in Lactobacillus spp. counts in ileum and caecum (Liu et al., 2008; Yang et al., 2012). </w:t>
      </w:r>
    </w:p>
    <w:p w14:paraId="0A8E869C" w14:textId="77777777" w:rsidR="000F6918" w:rsidRDefault="004D59C4">
      <w:pPr>
        <w:numPr>
          <w:ilvl w:val="0"/>
          <w:numId w:val="2"/>
        </w:numPr>
        <w:ind w:hanging="360"/>
      </w:pPr>
      <w:r>
        <w:t xml:space="preserve">Significant reduction in E. coli and other coliform counts; reduced EHEC shedding in challenged piglets. </w:t>
      </w:r>
    </w:p>
    <w:p w14:paraId="18CEC12D" w14:textId="77777777" w:rsidR="000F6918" w:rsidRDefault="004D59C4">
      <w:pPr>
        <w:numPr>
          <w:ilvl w:val="0"/>
          <w:numId w:val="2"/>
        </w:numPr>
        <w:ind w:hanging="360"/>
      </w:pPr>
      <w:r>
        <w:t xml:space="preserve">Elevated Bifidobacterium in the caecum and colon, supporting fermentation of dietary fibers and butyrate production. </w:t>
      </w:r>
    </w:p>
    <w:p w14:paraId="4ED59F28" w14:textId="77777777" w:rsidR="000F6918" w:rsidRDefault="004D59C4">
      <w:pPr>
        <w:numPr>
          <w:ilvl w:val="0"/>
          <w:numId w:val="2"/>
        </w:numPr>
        <w:ind w:hanging="360"/>
      </w:pPr>
      <w:r>
        <w:t xml:space="preserve">Reduced overall diarrhea scores and improved fecal consistency, correlating with pathogen suppression. </w:t>
      </w:r>
    </w:p>
    <w:p w14:paraId="7447AA21" w14:textId="77777777" w:rsidR="000F6918" w:rsidRDefault="004D59C4">
      <w:pPr>
        <w:numPr>
          <w:ilvl w:val="0"/>
          <w:numId w:val="2"/>
        </w:numPr>
        <w:ind w:hanging="360"/>
      </w:pPr>
      <w:r>
        <w:t>Effects are most pronounced during the post-weaning stress period (day 0</w:t>
      </w:r>
      <w:r>
        <w:t>–</w:t>
      </w:r>
      <w:r>
        <w:t xml:space="preserve">28 postweaning). </w:t>
      </w:r>
    </w:p>
    <w:p w14:paraId="7C56A3B4" w14:textId="77777777" w:rsidR="000F6918" w:rsidRDefault="004D59C4">
      <w:pPr>
        <w:spacing w:after="434" w:line="259" w:lineRule="auto"/>
        <w:ind w:left="0" w:firstLine="0"/>
      </w:pPr>
      <w:r>
        <w:t xml:space="preserve"> </w:t>
      </w:r>
    </w:p>
    <w:p w14:paraId="22D32A00" w14:textId="77777777" w:rsidR="000F6918" w:rsidRDefault="004D59C4">
      <w:pPr>
        <w:pStyle w:val="Heading2"/>
        <w:ind w:left="-5" w:right="0"/>
      </w:pPr>
      <w:r>
        <w:t>6. Product Specification: Chitosan 60 FG</w:t>
      </w:r>
      <w:r>
        <w:rPr>
          <w:b w:val="0"/>
          <w:color w:val="2E74B5"/>
        </w:rPr>
        <w:t xml:space="preserve"> </w:t>
      </w:r>
    </w:p>
    <w:p w14:paraId="19FF1459"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3693C1F5" wp14:editId="5D84A320">
                <wp:extent cx="6209665" cy="9144"/>
                <wp:effectExtent l="0" t="0" r="0" b="0"/>
                <wp:docPr id="15339" name="Group 15339"/>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45" name="Shape 19145"/>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5339" style="width:488.95pt;height:0.720032pt;mso-position-horizontal-relative:char;mso-position-vertical-relative:line" coordsize="62096,91">
                <v:shape id="Shape 19146"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69BC65B5" w14:textId="77777777" w:rsidR="000F6918" w:rsidRDefault="004D59C4">
      <w:r>
        <w:t xml:space="preserve">The following Certificate of Analysis parameters have been verified for the current production batch and confirm that Chitosan 60 FG meets all specifications required for safe and effective use as a swine feed additive. </w:t>
      </w:r>
    </w:p>
    <w:p w14:paraId="7B96C69D" w14:textId="77777777" w:rsidR="000F6918" w:rsidRDefault="004D59C4">
      <w:pPr>
        <w:spacing w:after="0" w:line="259" w:lineRule="auto"/>
        <w:ind w:left="0" w:firstLine="0"/>
      </w:pPr>
      <w:r>
        <w:t xml:space="preserve"> </w:t>
      </w:r>
    </w:p>
    <w:tbl>
      <w:tblPr>
        <w:tblStyle w:val="TableGrid"/>
        <w:tblW w:w="9360" w:type="dxa"/>
        <w:tblInd w:w="0" w:type="dxa"/>
        <w:tblCellMar>
          <w:top w:w="90" w:type="dxa"/>
          <w:left w:w="115" w:type="dxa"/>
          <w:bottom w:w="0" w:type="dxa"/>
          <w:right w:w="115" w:type="dxa"/>
        </w:tblCellMar>
        <w:tblLook w:val="04A0" w:firstRow="1" w:lastRow="0" w:firstColumn="1" w:lastColumn="0" w:noHBand="0" w:noVBand="1"/>
      </w:tblPr>
      <w:tblGrid>
        <w:gridCol w:w="2600"/>
        <w:gridCol w:w="2880"/>
        <w:gridCol w:w="2001"/>
        <w:gridCol w:w="1879"/>
      </w:tblGrid>
      <w:tr w:rsidR="000F6918" w14:paraId="3DDB027A" w14:textId="77777777">
        <w:trPr>
          <w:trHeight w:val="562"/>
        </w:trPr>
        <w:tc>
          <w:tcPr>
            <w:tcW w:w="2601" w:type="dxa"/>
            <w:tcBorders>
              <w:top w:val="single" w:sz="33" w:space="0" w:color="1A5276"/>
              <w:left w:val="single" w:sz="2" w:space="0" w:color="1A5276"/>
              <w:bottom w:val="single" w:sz="33" w:space="0" w:color="1A5276"/>
              <w:right w:val="single" w:sz="2" w:space="0" w:color="1A5276"/>
            </w:tcBorders>
            <w:shd w:val="clear" w:color="auto" w:fill="1A5276"/>
          </w:tcPr>
          <w:p w14:paraId="624E6A85" w14:textId="77777777" w:rsidR="000F6918" w:rsidRDefault="004D59C4">
            <w:pPr>
              <w:spacing w:after="0" w:line="259" w:lineRule="auto"/>
              <w:ind w:left="0" w:right="5" w:firstLine="0"/>
              <w:jc w:val="center"/>
            </w:pPr>
            <w:r>
              <w:rPr>
                <w:b/>
                <w:color w:val="FFFFFF"/>
                <w:sz w:val="20"/>
              </w:rPr>
              <w:t>Test / Parameter</w:t>
            </w:r>
            <w:r>
              <w:t xml:space="preserve"> </w:t>
            </w:r>
          </w:p>
        </w:tc>
        <w:tc>
          <w:tcPr>
            <w:tcW w:w="2880" w:type="dxa"/>
            <w:tcBorders>
              <w:top w:val="single" w:sz="33" w:space="0" w:color="1A5276"/>
              <w:left w:val="single" w:sz="2" w:space="0" w:color="1A5276"/>
              <w:bottom w:val="single" w:sz="33" w:space="0" w:color="1A5276"/>
              <w:right w:val="single" w:sz="2" w:space="0" w:color="1A5276"/>
            </w:tcBorders>
            <w:shd w:val="clear" w:color="auto" w:fill="1A5276"/>
          </w:tcPr>
          <w:p w14:paraId="75596953" w14:textId="77777777" w:rsidR="000F6918" w:rsidRDefault="004D59C4">
            <w:pPr>
              <w:spacing w:after="0" w:line="259" w:lineRule="auto"/>
              <w:ind w:left="0" w:right="5" w:firstLine="0"/>
              <w:jc w:val="center"/>
            </w:pPr>
            <w:r>
              <w:rPr>
                <w:b/>
                <w:color w:val="FFFFFF"/>
                <w:sz w:val="20"/>
              </w:rPr>
              <w:t>Specification</w:t>
            </w:r>
            <w:r>
              <w:t xml:space="preserve"> </w:t>
            </w:r>
          </w:p>
        </w:tc>
        <w:tc>
          <w:tcPr>
            <w:tcW w:w="2001" w:type="dxa"/>
            <w:tcBorders>
              <w:top w:val="single" w:sz="33" w:space="0" w:color="1A5276"/>
              <w:left w:val="single" w:sz="2" w:space="0" w:color="1A5276"/>
              <w:bottom w:val="single" w:sz="33" w:space="0" w:color="1A5276"/>
              <w:right w:val="single" w:sz="2" w:space="0" w:color="1A5276"/>
            </w:tcBorders>
            <w:shd w:val="clear" w:color="auto" w:fill="1A5276"/>
          </w:tcPr>
          <w:p w14:paraId="022A7C68" w14:textId="77777777" w:rsidR="000F6918" w:rsidRDefault="004D59C4">
            <w:pPr>
              <w:spacing w:after="0" w:line="259" w:lineRule="auto"/>
              <w:ind w:left="0" w:firstLine="0"/>
              <w:jc w:val="center"/>
            </w:pPr>
            <w:r>
              <w:rPr>
                <w:b/>
                <w:color w:val="FFFFFF"/>
                <w:sz w:val="20"/>
              </w:rPr>
              <w:t>Result (Batch 01/2026)</w:t>
            </w:r>
            <w:r>
              <w:t xml:space="preserve"> </w:t>
            </w:r>
          </w:p>
        </w:tc>
        <w:tc>
          <w:tcPr>
            <w:tcW w:w="1879" w:type="dxa"/>
            <w:tcBorders>
              <w:top w:val="single" w:sz="33" w:space="0" w:color="1A5276"/>
              <w:left w:val="single" w:sz="2" w:space="0" w:color="1A5276"/>
              <w:bottom w:val="single" w:sz="33" w:space="0" w:color="1A5276"/>
              <w:right w:val="single" w:sz="2" w:space="0" w:color="1A5276"/>
            </w:tcBorders>
            <w:shd w:val="clear" w:color="auto" w:fill="1A5276"/>
          </w:tcPr>
          <w:p w14:paraId="32F360F2" w14:textId="77777777" w:rsidR="000F6918" w:rsidRDefault="004D59C4">
            <w:pPr>
              <w:spacing w:after="0" w:line="259" w:lineRule="auto"/>
              <w:ind w:left="0" w:right="1" w:firstLine="0"/>
              <w:jc w:val="center"/>
            </w:pPr>
            <w:r>
              <w:rPr>
                <w:b/>
                <w:color w:val="FFFFFF"/>
                <w:sz w:val="20"/>
              </w:rPr>
              <w:t>Status</w:t>
            </w:r>
            <w:r>
              <w:t xml:space="preserve"> </w:t>
            </w:r>
          </w:p>
        </w:tc>
      </w:tr>
      <w:tr w:rsidR="000F6918" w14:paraId="31AD5A12" w14:textId="77777777">
        <w:trPr>
          <w:trHeight w:val="622"/>
        </w:trPr>
        <w:tc>
          <w:tcPr>
            <w:tcW w:w="2601" w:type="dxa"/>
            <w:tcBorders>
              <w:top w:val="single" w:sz="2" w:space="0" w:color="CCCCCC"/>
              <w:left w:val="single" w:sz="2" w:space="0" w:color="CCCCCC"/>
              <w:bottom w:val="single" w:sz="2" w:space="0" w:color="CCCCCC"/>
              <w:right w:val="single" w:sz="2" w:space="0" w:color="CCCCCC"/>
            </w:tcBorders>
          </w:tcPr>
          <w:p w14:paraId="15FAD5A5" w14:textId="77777777" w:rsidR="000F6918" w:rsidRDefault="004D59C4">
            <w:pPr>
              <w:spacing w:after="0" w:line="259" w:lineRule="auto"/>
              <w:ind w:left="0" w:firstLine="0"/>
            </w:pPr>
            <w:r>
              <w:rPr>
                <w:sz w:val="20"/>
              </w:rPr>
              <w:t>Appearance</w:t>
            </w:r>
            <w:r>
              <w:t xml:space="preserve"> </w:t>
            </w:r>
          </w:p>
        </w:tc>
        <w:tc>
          <w:tcPr>
            <w:tcW w:w="2880" w:type="dxa"/>
            <w:tcBorders>
              <w:top w:val="single" w:sz="2" w:space="0" w:color="CCCCCC"/>
              <w:left w:val="single" w:sz="2" w:space="0" w:color="CCCCCC"/>
              <w:bottom w:val="single" w:sz="2" w:space="0" w:color="CCCCCC"/>
              <w:right w:val="single" w:sz="2" w:space="0" w:color="CCCCCC"/>
            </w:tcBorders>
          </w:tcPr>
          <w:p w14:paraId="52E2CDD1" w14:textId="77777777" w:rsidR="000F6918" w:rsidRDefault="004D59C4">
            <w:pPr>
              <w:spacing w:after="0" w:line="259" w:lineRule="auto"/>
              <w:ind w:left="2" w:firstLine="0"/>
            </w:pPr>
            <w:r>
              <w:rPr>
                <w:sz w:val="20"/>
              </w:rPr>
              <w:t>Light brown/cream/off-white free-flowing powder</w:t>
            </w:r>
            <w:r>
              <w:t xml:space="preserve"> </w:t>
            </w:r>
          </w:p>
        </w:tc>
        <w:tc>
          <w:tcPr>
            <w:tcW w:w="2001" w:type="dxa"/>
            <w:tcBorders>
              <w:top w:val="single" w:sz="2" w:space="0" w:color="CCCCCC"/>
              <w:left w:val="single" w:sz="2" w:space="0" w:color="CCCCCC"/>
              <w:bottom w:val="single" w:sz="2" w:space="0" w:color="CCCCCC"/>
              <w:right w:val="single" w:sz="2" w:space="0" w:color="CCCCCC"/>
            </w:tcBorders>
          </w:tcPr>
          <w:p w14:paraId="61FEB193" w14:textId="77777777" w:rsidR="000F6918" w:rsidRDefault="004D59C4">
            <w:pPr>
              <w:spacing w:after="0" w:line="259" w:lineRule="auto"/>
              <w:ind w:left="2" w:firstLine="0"/>
            </w:pPr>
            <w:r>
              <w:rPr>
                <w:sz w:val="20"/>
              </w:rPr>
              <w:t>Cream-colored, free-flowing</w:t>
            </w:r>
            <w:r>
              <w:t xml:space="preserve"> </w:t>
            </w:r>
          </w:p>
        </w:tc>
        <w:tc>
          <w:tcPr>
            <w:tcW w:w="1879" w:type="dxa"/>
            <w:tcBorders>
              <w:top w:val="single" w:sz="2" w:space="0" w:color="CCCCCC"/>
              <w:left w:val="single" w:sz="2" w:space="0" w:color="CCCCCC"/>
              <w:bottom w:val="single" w:sz="32" w:space="0" w:color="EAF2FB"/>
              <w:right w:val="single" w:sz="2" w:space="0" w:color="CCCCCC"/>
            </w:tcBorders>
          </w:tcPr>
          <w:p w14:paraId="02EF4EC4"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56A8DD95" w14:textId="77777777">
        <w:trPr>
          <w:trHeight w:val="397"/>
        </w:trPr>
        <w:tc>
          <w:tcPr>
            <w:tcW w:w="2601" w:type="dxa"/>
            <w:tcBorders>
              <w:top w:val="single" w:sz="2" w:space="0" w:color="CCCCCC"/>
              <w:left w:val="single" w:sz="2" w:space="0" w:color="CCCCCC"/>
              <w:bottom w:val="single" w:sz="32" w:space="0" w:color="FFFFFF"/>
              <w:right w:val="single" w:sz="2" w:space="0" w:color="CCCCCC"/>
            </w:tcBorders>
            <w:shd w:val="clear" w:color="auto" w:fill="EAF2FB"/>
          </w:tcPr>
          <w:p w14:paraId="6265261A" w14:textId="77777777" w:rsidR="000F6918" w:rsidRDefault="004D59C4">
            <w:pPr>
              <w:spacing w:after="0" w:line="259" w:lineRule="auto"/>
              <w:ind w:left="0" w:firstLine="0"/>
            </w:pPr>
            <w:r>
              <w:rPr>
                <w:sz w:val="20"/>
              </w:rPr>
              <w:lastRenderedPageBreak/>
              <w:t>Degree of Deacetylation</w:t>
            </w:r>
            <w:r>
              <w:t xml:space="preserve"> </w:t>
            </w:r>
          </w:p>
        </w:tc>
        <w:tc>
          <w:tcPr>
            <w:tcW w:w="2880" w:type="dxa"/>
            <w:tcBorders>
              <w:top w:val="single" w:sz="2" w:space="0" w:color="CCCCCC"/>
              <w:left w:val="single" w:sz="2" w:space="0" w:color="CCCCCC"/>
              <w:bottom w:val="single" w:sz="32" w:space="0" w:color="FFFFFF"/>
              <w:right w:val="single" w:sz="2" w:space="0" w:color="CCCCCC"/>
            </w:tcBorders>
            <w:shd w:val="clear" w:color="auto" w:fill="EAF2FB"/>
          </w:tcPr>
          <w:p w14:paraId="5D73A1D0" w14:textId="77777777" w:rsidR="000F6918" w:rsidRDefault="004D59C4">
            <w:pPr>
              <w:spacing w:after="0" w:line="259" w:lineRule="auto"/>
              <w:ind w:left="2" w:firstLine="0"/>
            </w:pPr>
            <w:r>
              <w:rPr>
                <w:sz w:val="20"/>
              </w:rPr>
              <w:t>≥ 95%</w:t>
            </w:r>
            <w:r>
              <w:t xml:space="preserve"> </w:t>
            </w:r>
          </w:p>
        </w:tc>
        <w:tc>
          <w:tcPr>
            <w:tcW w:w="2001" w:type="dxa"/>
            <w:tcBorders>
              <w:top w:val="single" w:sz="2" w:space="0" w:color="CCCCCC"/>
              <w:left w:val="single" w:sz="2" w:space="0" w:color="CCCCCC"/>
              <w:bottom w:val="single" w:sz="32" w:space="0" w:color="FFFFFF"/>
              <w:right w:val="single" w:sz="2" w:space="0" w:color="CCCCCC"/>
            </w:tcBorders>
            <w:shd w:val="clear" w:color="auto" w:fill="EAF2FB"/>
          </w:tcPr>
          <w:p w14:paraId="381397C2" w14:textId="77777777" w:rsidR="000F6918" w:rsidRDefault="004D59C4">
            <w:pPr>
              <w:spacing w:after="0" w:line="259" w:lineRule="auto"/>
              <w:ind w:left="2" w:firstLine="0"/>
            </w:pPr>
            <w:r>
              <w:rPr>
                <w:sz w:val="20"/>
              </w:rPr>
              <w:t>98.67%</w:t>
            </w:r>
            <w:r>
              <w:t xml:space="preserve"> </w:t>
            </w:r>
          </w:p>
        </w:tc>
        <w:tc>
          <w:tcPr>
            <w:tcW w:w="1879" w:type="dxa"/>
            <w:tcBorders>
              <w:top w:val="single" w:sz="32" w:space="0" w:color="EAF2FB"/>
              <w:left w:val="single" w:sz="2" w:space="0" w:color="CCCCCC"/>
              <w:bottom w:val="single" w:sz="32" w:space="0" w:color="FFFFFF"/>
              <w:right w:val="single" w:sz="2" w:space="0" w:color="CCCCCC"/>
            </w:tcBorders>
            <w:shd w:val="clear" w:color="auto" w:fill="EAF2FB"/>
          </w:tcPr>
          <w:p w14:paraId="62B1B63B"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3BBB2C17" w14:textId="77777777">
        <w:trPr>
          <w:trHeight w:val="460"/>
        </w:trPr>
        <w:tc>
          <w:tcPr>
            <w:tcW w:w="2601" w:type="dxa"/>
            <w:tcBorders>
              <w:top w:val="single" w:sz="32" w:space="0" w:color="FFFFFF"/>
              <w:left w:val="single" w:sz="2" w:space="0" w:color="CCCCCC"/>
              <w:bottom w:val="single" w:sz="2" w:space="0" w:color="CCCCCC"/>
              <w:right w:val="single" w:sz="2" w:space="0" w:color="CCCCCC"/>
            </w:tcBorders>
            <w:vAlign w:val="center"/>
          </w:tcPr>
          <w:p w14:paraId="27498967" w14:textId="77777777" w:rsidR="000F6918" w:rsidRDefault="004D59C4">
            <w:pPr>
              <w:spacing w:after="0" w:line="259" w:lineRule="auto"/>
              <w:ind w:left="0" w:firstLine="0"/>
            </w:pPr>
            <w:r>
              <w:rPr>
                <w:sz w:val="20"/>
              </w:rPr>
              <w:t>Purity</w:t>
            </w:r>
            <w:r>
              <w:t xml:space="preserve"> </w:t>
            </w:r>
          </w:p>
        </w:tc>
        <w:tc>
          <w:tcPr>
            <w:tcW w:w="2880" w:type="dxa"/>
            <w:tcBorders>
              <w:top w:val="single" w:sz="32" w:space="0" w:color="FFFFFF"/>
              <w:left w:val="single" w:sz="2" w:space="0" w:color="CCCCCC"/>
              <w:bottom w:val="single" w:sz="2" w:space="0" w:color="CCCCCC"/>
              <w:right w:val="single" w:sz="2" w:space="0" w:color="CCCCCC"/>
            </w:tcBorders>
            <w:vAlign w:val="center"/>
          </w:tcPr>
          <w:p w14:paraId="4B28F9F3" w14:textId="77777777" w:rsidR="000F6918" w:rsidRDefault="004D59C4">
            <w:pPr>
              <w:spacing w:after="0" w:line="259" w:lineRule="auto"/>
              <w:ind w:left="2" w:firstLine="0"/>
            </w:pPr>
            <w:r>
              <w:rPr>
                <w:sz w:val="20"/>
              </w:rPr>
              <w:t xml:space="preserve">98.0 </w:t>
            </w:r>
            <w:r>
              <w:rPr>
                <w:sz w:val="20"/>
              </w:rPr>
              <w:t>–</w:t>
            </w:r>
            <w:r>
              <w:rPr>
                <w:sz w:val="20"/>
              </w:rPr>
              <w:t xml:space="preserve"> 99.5%</w:t>
            </w:r>
            <w:r>
              <w:t xml:space="preserve"> </w:t>
            </w:r>
          </w:p>
        </w:tc>
        <w:tc>
          <w:tcPr>
            <w:tcW w:w="2001" w:type="dxa"/>
            <w:tcBorders>
              <w:top w:val="single" w:sz="32" w:space="0" w:color="FFFFFF"/>
              <w:left w:val="single" w:sz="2" w:space="0" w:color="CCCCCC"/>
              <w:bottom w:val="single" w:sz="2" w:space="0" w:color="CCCCCC"/>
              <w:right w:val="single" w:sz="2" w:space="0" w:color="CCCCCC"/>
            </w:tcBorders>
            <w:vAlign w:val="center"/>
          </w:tcPr>
          <w:p w14:paraId="7E09CEB1" w14:textId="77777777" w:rsidR="000F6918" w:rsidRDefault="004D59C4">
            <w:pPr>
              <w:spacing w:after="0" w:line="259" w:lineRule="auto"/>
              <w:ind w:left="2" w:firstLine="0"/>
            </w:pPr>
            <w:r>
              <w:rPr>
                <w:sz w:val="20"/>
              </w:rPr>
              <w:t>99.13%</w:t>
            </w:r>
            <w:r>
              <w:t xml:space="preserve"> </w:t>
            </w:r>
          </w:p>
        </w:tc>
        <w:tc>
          <w:tcPr>
            <w:tcW w:w="1879" w:type="dxa"/>
            <w:tcBorders>
              <w:top w:val="single" w:sz="32" w:space="0" w:color="FFFFFF"/>
              <w:left w:val="single" w:sz="2" w:space="0" w:color="CCCCCC"/>
              <w:bottom w:val="single" w:sz="32" w:space="0" w:color="EAF2FB"/>
              <w:right w:val="single" w:sz="2" w:space="0" w:color="CCCCCC"/>
            </w:tcBorders>
            <w:vAlign w:val="center"/>
          </w:tcPr>
          <w:p w14:paraId="594B6053"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104BAE89" w14:textId="77777777">
        <w:trPr>
          <w:trHeight w:val="592"/>
        </w:trPr>
        <w:tc>
          <w:tcPr>
            <w:tcW w:w="2601" w:type="dxa"/>
            <w:tcBorders>
              <w:top w:val="single" w:sz="2" w:space="0" w:color="CCCCCC"/>
              <w:left w:val="single" w:sz="2" w:space="0" w:color="CCCCCC"/>
              <w:bottom w:val="single" w:sz="32" w:space="0" w:color="FFFFFF"/>
              <w:right w:val="single" w:sz="2" w:space="0" w:color="CCCCCC"/>
            </w:tcBorders>
            <w:shd w:val="clear" w:color="auto" w:fill="EAF2FB"/>
          </w:tcPr>
          <w:p w14:paraId="16974354" w14:textId="77777777" w:rsidR="000F6918" w:rsidRDefault="004D59C4">
            <w:pPr>
              <w:spacing w:after="0" w:line="259" w:lineRule="auto"/>
              <w:ind w:left="0" w:firstLine="0"/>
            </w:pPr>
            <w:r>
              <w:rPr>
                <w:sz w:val="20"/>
              </w:rPr>
              <w:t>Solubility (1 g/100 mL DI water)</w:t>
            </w:r>
            <w:r>
              <w:t xml:space="preserve"> </w:t>
            </w:r>
          </w:p>
        </w:tc>
        <w:tc>
          <w:tcPr>
            <w:tcW w:w="2880" w:type="dxa"/>
            <w:tcBorders>
              <w:top w:val="single" w:sz="2" w:space="0" w:color="CCCCCC"/>
              <w:left w:val="single" w:sz="2" w:space="0" w:color="CCCCCC"/>
              <w:bottom w:val="single" w:sz="32" w:space="0" w:color="FFFFFF"/>
              <w:right w:val="single" w:sz="2" w:space="0" w:color="CCCCCC"/>
            </w:tcBorders>
            <w:shd w:val="clear" w:color="auto" w:fill="EAF2FB"/>
          </w:tcPr>
          <w:p w14:paraId="43FEA03E" w14:textId="77777777" w:rsidR="000F6918" w:rsidRDefault="004D59C4">
            <w:pPr>
              <w:spacing w:after="0" w:line="259" w:lineRule="auto"/>
              <w:ind w:left="2" w:firstLine="0"/>
            </w:pPr>
            <w:r>
              <w:rPr>
                <w:sz w:val="20"/>
              </w:rPr>
              <w:t>Completely soluble</w:t>
            </w:r>
            <w:r>
              <w:t xml:space="preserve"> </w:t>
            </w:r>
          </w:p>
        </w:tc>
        <w:tc>
          <w:tcPr>
            <w:tcW w:w="2001" w:type="dxa"/>
            <w:tcBorders>
              <w:top w:val="single" w:sz="2" w:space="0" w:color="CCCCCC"/>
              <w:left w:val="single" w:sz="2" w:space="0" w:color="CCCCCC"/>
              <w:bottom w:val="single" w:sz="32" w:space="0" w:color="FFFFFF"/>
              <w:right w:val="single" w:sz="2" w:space="0" w:color="CCCCCC"/>
            </w:tcBorders>
            <w:shd w:val="clear" w:color="auto" w:fill="EAF2FB"/>
          </w:tcPr>
          <w:p w14:paraId="1A56433E" w14:textId="77777777" w:rsidR="000F6918" w:rsidRDefault="004D59C4">
            <w:pPr>
              <w:spacing w:after="0" w:line="259" w:lineRule="auto"/>
              <w:ind w:left="2" w:firstLine="0"/>
            </w:pPr>
            <w:r>
              <w:rPr>
                <w:sz w:val="20"/>
              </w:rPr>
              <w:t>Passes</w:t>
            </w:r>
            <w:r>
              <w:t xml:space="preserve"> </w:t>
            </w:r>
          </w:p>
        </w:tc>
        <w:tc>
          <w:tcPr>
            <w:tcW w:w="1879" w:type="dxa"/>
            <w:tcBorders>
              <w:top w:val="single" w:sz="32" w:space="0" w:color="EAF2FB"/>
              <w:left w:val="single" w:sz="2" w:space="0" w:color="CCCCCC"/>
              <w:bottom w:val="single" w:sz="32" w:space="0" w:color="FFFFFF"/>
              <w:right w:val="single" w:sz="2" w:space="0" w:color="CCCCCC"/>
            </w:tcBorders>
            <w:shd w:val="clear" w:color="auto" w:fill="EAF2FB"/>
          </w:tcPr>
          <w:p w14:paraId="7A5E5765"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5CF308ED" w14:textId="77777777">
        <w:trPr>
          <w:trHeight w:val="457"/>
        </w:trPr>
        <w:tc>
          <w:tcPr>
            <w:tcW w:w="2601" w:type="dxa"/>
            <w:tcBorders>
              <w:top w:val="single" w:sz="32" w:space="0" w:color="FFFFFF"/>
              <w:left w:val="single" w:sz="2" w:space="0" w:color="CCCCCC"/>
              <w:bottom w:val="single" w:sz="32" w:space="0" w:color="EAF2FB"/>
              <w:right w:val="single" w:sz="2" w:space="0" w:color="CCCCCC"/>
            </w:tcBorders>
            <w:vAlign w:val="center"/>
          </w:tcPr>
          <w:p w14:paraId="42738686" w14:textId="77777777" w:rsidR="000F6918" w:rsidRDefault="004D59C4">
            <w:pPr>
              <w:spacing w:after="0" w:line="259" w:lineRule="auto"/>
              <w:ind w:left="0" w:firstLine="0"/>
            </w:pPr>
            <w:r>
              <w:rPr>
                <w:sz w:val="20"/>
              </w:rPr>
              <w:t>Zeta Potential</w:t>
            </w:r>
            <w:r>
              <w:t xml:space="preserve"> </w:t>
            </w:r>
          </w:p>
        </w:tc>
        <w:tc>
          <w:tcPr>
            <w:tcW w:w="2880" w:type="dxa"/>
            <w:tcBorders>
              <w:top w:val="single" w:sz="32" w:space="0" w:color="FFFFFF"/>
              <w:left w:val="single" w:sz="2" w:space="0" w:color="CCCCCC"/>
              <w:bottom w:val="single" w:sz="32" w:space="0" w:color="EAF2FB"/>
              <w:right w:val="single" w:sz="2" w:space="0" w:color="CCCCCC"/>
            </w:tcBorders>
            <w:vAlign w:val="center"/>
          </w:tcPr>
          <w:p w14:paraId="64FCAAD4" w14:textId="77777777" w:rsidR="000F6918" w:rsidRDefault="004D59C4">
            <w:pPr>
              <w:spacing w:after="0" w:line="259" w:lineRule="auto"/>
              <w:ind w:left="2" w:firstLine="0"/>
            </w:pPr>
            <w:r>
              <w:rPr>
                <w:sz w:val="20"/>
              </w:rPr>
              <w:t xml:space="preserve">+55 </w:t>
            </w:r>
            <w:r>
              <w:rPr>
                <w:sz w:val="20"/>
              </w:rPr>
              <w:t>–</w:t>
            </w:r>
            <w:r>
              <w:rPr>
                <w:sz w:val="20"/>
              </w:rPr>
              <w:t xml:space="preserve"> +65 mV</w:t>
            </w:r>
            <w:r>
              <w:t xml:space="preserve"> </w:t>
            </w:r>
          </w:p>
        </w:tc>
        <w:tc>
          <w:tcPr>
            <w:tcW w:w="2001" w:type="dxa"/>
            <w:tcBorders>
              <w:top w:val="single" w:sz="32" w:space="0" w:color="FFFFFF"/>
              <w:left w:val="single" w:sz="2" w:space="0" w:color="CCCCCC"/>
              <w:bottom w:val="single" w:sz="32" w:space="0" w:color="EAF2FB"/>
              <w:right w:val="single" w:sz="2" w:space="0" w:color="CCCCCC"/>
            </w:tcBorders>
            <w:vAlign w:val="center"/>
          </w:tcPr>
          <w:p w14:paraId="4C327349" w14:textId="77777777" w:rsidR="000F6918" w:rsidRDefault="004D59C4">
            <w:pPr>
              <w:spacing w:after="0" w:line="259" w:lineRule="auto"/>
              <w:ind w:left="2" w:firstLine="0"/>
            </w:pPr>
            <w:r>
              <w:rPr>
                <w:sz w:val="20"/>
              </w:rPr>
              <w:t>+59.77 mV</w:t>
            </w:r>
            <w:r>
              <w:t xml:space="preserve"> </w:t>
            </w:r>
          </w:p>
        </w:tc>
        <w:tc>
          <w:tcPr>
            <w:tcW w:w="1879" w:type="dxa"/>
            <w:tcBorders>
              <w:top w:val="single" w:sz="32" w:space="0" w:color="FFFFFF"/>
              <w:left w:val="single" w:sz="2" w:space="0" w:color="CCCCCC"/>
              <w:bottom w:val="single" w:sz="32" w:space="0" w:color="EAF2FB"/>
              <w:right w:val="single" w:sz="2" w:space="0" w:color="CCCCCC"/>
            </w:tcBorders>
            <w:vAlign w:val="center"/>
          </w:tcPr>
          <w:p w14:paraId="467DA36B"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35CC4959" w14:textId="77777777">
        <w:trPr>
          <w:trHeight w:val="592"/>
        </w:trPr>
        <w:tc>
          <w:tcPr>
            <w:tcW w:w="2601" w:type="dxa"/>
            <w:tcBorders>
              <w:top w:val="single" w:sz="32" w:space="0" w:color="EAF2FB"/>
              <w:left w:val="single" w:sz="2" w:space="0" w:color="CCCCCC"/>
              <w:bottom w:val="single" w:sz="32" w:space="0" w:color="FFFFFF"/>
              <w:right w:val="single" w:sz="2" w:space="0" w:color="CCCCCC"/>
            </w:tcBorders>
            <w:shd w:val="clear" w:color="auto" w:fill="EAF2FB"/>
          </w:tcPr>
          <w:p w14:paraId="72AA49C1" w14:textId="77777777" w:rsidR="000F6918" w:rsidRDefault="004D59C4">
            <w:pPr>
              <w:spacing w:after="0" w:line="259" w:lineRule="auto"/>
              <w:ind w:left="0" w:firstLine="0"/>
            </w:pPr>
            <w:r>
              <w:rPr>
                <w:sz w:val="20"/>
              </w:rPr>
              <w:t>pH (1% solution, 25</w:t>
            </w:r>
            <w:r>
              <w:rPr>
                <w:sz w:val="20"/>
              </w:rPr>
              <w:t xml:space="preserve">– </w:t>
            </w:r>
            <w:r>
              <w:rPr>
                <w:sz w:val="20"/>
              </w:rPr>
              <w:t>30°C)</w:t>
            </w:r>
            <w:r>
              <w:t xml:space="preserve"> </w:t>
            </w:r>
          </w:p>
        </w:tc>
        <w:tc>
          <w:tcPr>
            <w:tcW w:w="2880" w:type="dxa"/>
            <w:tcBorders>
              <w:top w:val="single" w:sz="32" w:space="0" w:color="EAF2FB"/>
              <w:left w:val="single" w:sz="2" w:space="0" w:color="CCCCCC"/>
              <w:bottom w:val="single" w:sz="32" w:space="0" w:color="FFFFFF"/>
              <w:right w:val="single" w:sz="2" w:space="0" w:color="CCCCCC"/>
            </w:tcBorders>
            <w:shd w:val="clear" w:color="auto" w:fill="EAF2FB"/>
          </w:tcPr>
          <w:p w14:paraId="09DC7344" w14:textId="77777777" w:rsidR="000F6918" w:rsidRDefault="004D59C4">
            <w:pPr>
              <w:spacing w:after="0" w:line="259" w:lineRule="auto"/>
              <w:ind w:left="2" w:firstLine="0"/>
            </w:pPr>
            <w:r>
              <w:rPr>
                <w:sz w:val="20"/>
              </w:rPr>
              <w:t xml:space="preserve">2.0 </w:t>
            </w:r>
            <w:r>
              <w:rPr>
                <w:sz w:val="20"/>
              </w:rPr>
              <w:t>–</w:t>
            </w:r>
            <w:r>
              <w:rPr>
                <w:sz w:val="20"/>
              </w:rPr>
              <w:t xml:space="preserve"> 5.5</w:t>
            </w:r>
            <w:r>
              <w:t xml:space="preserve"> </w:t>
            </w:r>
          </w:p>
        </w:tc>
        <w:tc>
          <w:tcPr>
            <w:tcW w:w="2001" w:type="dxa"/>
            <w:tcBorders>
              <w:top w:val="single" w:sz="32" w:space="0" w:color="EAF2FB"/>
              <w:left w:val="single" w:sz="2" w:space="0" w:color="CCCCCC"/>
              <w:bottom w:val="single" w:sz="32" w:space="0" w:color="FFFFFF"/>
              <w:right w:val="single" w:sz="2" w:space="0" w:color="CCCCCC"/>
            </w:tcBorders>
            <w:shd w:val="clear" w:color="auto" w:fill="EAF2FB"/>
          </w:tcPr>
          <w:p w14:paraId="693EBECF" w14:textId="77777777" w:rsidR="000F6918" w:rsidRDefault="004D59C4">
            <w:pPr>
              <w:spacing w:after="0" w:line="259" w:lineRule="auto"/>
              <w:ind w:left="2" w:firstLine="0"/>
            </w:pPr>
            <w:r>
              <w:rPr>
                <w:sz w:val="20"/>
              </w:rPr>
              <w:t>4.48</w:t>
            </w:r>
            <w:r>
              <w:t xml:space="preserve"> </w:t>
            </w:r>
          </w:p>
        </w:tc>
        <w:tc>
          <w:tcPr>
            <w:tcW w:w="1879" w:type="dxa"/>
            <w:tcBorders>
              <w:top w:val="single" w:sz="32" w:space="0" w:color="EAF2FB"/>
              <w:left w:val="single" w:sz="2" w:space="0" w:color="CCCCCC"/>
              <w:bottom w:val="single" w:sz="32" w:space="0" w:color="FFFFFF"/>
              <w:right w:val="single" w:sz="2" w:space="0" w:color="CCCCCC"/>
            </w:tcBorders>
            <w:shd w:val="clear" w:color="auto" w:fill="EAF2FB"/>
          </w:tcPr>
          <w:p w14:paraId="272AF380"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0838CDED" w14:textId="77777777">
        <w:trPr>
          <w:trHeight w:val="460"/>
        </w:trPr>
        <w:tc>
          <w:tcPr>
            <w:tcW w:w="2601" w:type="dxa"/>
            <w:tcBorders>
              <w:top w:val="single" w:sz="32" w:space="0" w:color="FFFFFF"/>
              <w:left w:val="single" w:sz="2" w:space="0" w:color="CCCCCC"/>
              <w:bottom w:val="single" w:sz="2" w:space="0" w:color="CCCCCC"/>
              <w:right w:val="single" w:sz="2" w:space="0" w:color="CCCCCC"/>
            </w:tcBorders>
            <w:vAlign w:val="center"/>
          </w:tcPr>
          <w:p w14:paraId="7926989F" w14:textId="77777777" w:rsidR="000F6918" w:rsidRDefault="004D59C4">
            <w:pPr>
              <w:spacing w:after="0" w:line="259" w:lineRule="auto"/>
              <w:ind w:left="0" w:firstLine="0"/>
            </w:pPr>
            <w:r>
              <w:rPr>
                <w:sz w:val="20"/>
              </w:rPr>
              <w:t>Viscosity (1% aq., 30°C)</w:t>
            </w:r>
            <w:r>
              <w:t xml:space="preserve"> </w:t>
            </w:r>
          </w:p>
        </w:tc>
        <w:tc>
          <w:tcPr>
            <w:tcW w:w="2880" w:type="dxa"/>
            <w:tcBorders>
              <w:top w:val="single" w:sz="32" w:space="0" w:color="FFFFFF"/>
              <w:left w:val="single" w:sz="2" w:space="0" w:color="CCCCCC"/>
              <w:bottom w:val="single" w:sz="2" w:space="0" w:color="CCCCCC"/>
              <w:right w:val="single" w:sz="2" w:space="0" w:color="CCCCCC"/>
            </w:tcBorders>
            <w:vAlign w:val="center"/>
          </w:tcPr>
          <w:p w14:paraId="58B9FBEE" w14:textId="77777777" w:rsidR="000F6918" w:rsidRDefault="004D59C4">
            <w:pPr>
              <w:spacing w:after="0" w:line="259" w:lineRule="auto"/>
              <w:ind w:left="2" w:firstLine="0"/>
            </w:pPr>
            <w:r>
              <w:rPr>
                <w:sz w:val="20"/>
              </w:rPr>
              <w:t xml:space="preserve">0.10 </w:t>
            </w:r>
            <w:r>
              <w:rPr>
                <w:sz w:val="20"/>
              </w:rPr>
              <w:t>–</w:t>
            </w:r>
            <w:r>
              <w:rPr>
                <w:sz w:val="20"/>
              </w:rPr>
              <w:t xml:space="preserve"> 100 </w:t>
            </w:r>
            <w:proofErr w:type="spellStart"/>
            <w:r>
              <w:rPr>
                <w:sz w:val="20"/>
              </w:rPr>
              <w:t>cSt</w:t>
            </w:r>
            <w:proofErr w:type="spellEnd"/>
            <w:r>
              <w:t xml:space="preserve"> </w:t>
            </w:r>
          </w:p>
        </w:tc>
        <w:tc>
          <w:tcPr>
            <w:tcW w:w="2001" w:type="dxa"/>
            <w:tcBorders>
              <w:top w:val="single" w:sz="32" w:space="0" w:color="FFFFFF"/>
              <w:left w:val="single" w:sz="2" w:space="0" w:color="CCCCCC"/>
              <w:bottom w:val="single" w:sz="2" w:space="0" w:color="CCCCCC"/>
              <w:right w:val="single" w:sz="2" w:space="0" w:color="CCCCCC"/>
            </w:tcBorders>
            <w:vAlign w:val="center"/>
          </w:tcPr>
          <w:p w14:paraId="7202B026" w14:textId="77777777" w:rsidR="000F6918" w:rsidRDefault="004D59C4">
            <w:pPr>
              <w:spacing w:after="0" w:line="259" w:lineRule="auto"/>
              <w:ind w:left="2" w:firstLine="0"/>
            </w:pPr>
            <w:r>
              <w:rPr>
                <w:sz w:val="20"/>
              </w:rPr>
              <w:t xml:space="preserve">6.59 </w:t>
            </w:r>
            <w:proofErr w:type="spellStart"/>
            <w:r>
              <w:rPr>
                <w:sz w:val="20"/>
              </w:rPr>
              <w:t>cSt</w:t>
            </w:r>
            <w:proofErr w:type="spellEnd"/>
            <w:r>
              <w:t xml:space="preserve"> </w:t>
            </w:r>
          </w:p>
        </w:tc>
        <w:tc>
          <w:tcPr>
            <w:tcW w:w="1879" w:type="dxa"/>
            <w:tcBorders>
              <w:top w:val="single" w:sz="32" w:space="0" w:color="FFFFFF"/>
              <w:left w:val="single" w:sz="2" w:space="0" w:color="CCCCCC"/>
              <w:bottom w:val="single" w:sz="32" w:space="0" w:color="EAF2FB"/>
              <w:right w:val="single" w:sz="2" w:space="0" w:color="CCCCCC"/>
            </w:tcBorders>
            <w:vAlign w:val="center"/>
          </w:tcPr>
          <w:p w14:paraId="6C2CA813"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3B0EFE31" w14:textId="77777777">
        <w:trPr>
          <w:trHeight w:val="398"/>
        </w:trPr>
        <w:tc>
          <w:tcPr>
            <w:tcW w:w="2601" w:type="dxa"/>
            <w:tcBorders>
              <w:top w:val="single" w:sz="2" w:space="0" w:color="CCCCCC"/>
              <w:left w:val="single" w:sz="2" w:space="0" w:color="CCCCCC"/>
              <w:bottom w:val="single" w:sz="32" w:space="0" w:color="FFFFFF"/>
              <w:right w:val="single" w:sz="2" w:space="0" w:color="CCCCCC"/>
            </w:tcBorders>
            <w:shd w:val="clear" w:color="auto" w:fill="EAF2FB"/>
          </w:tcPr>
          <w:p w14:paraId="0640BBAB" w14:textId="77777777" w:rsidR="000F6918" w:rsidRDefault="004D59C4">
            <w:pPr>
              <w:spacing w:after="0" w:line="259" w:lineRule="auto"/>
              <w:ind w:left="0" w:firstLine="0"/>
            </w:pPr>
            <w:r>
              <w:rPr>
                <w:sz w:val="20"/>
              </w:rPr>
              <w:t>Heavy Metals (as Pb)</w:t>
            </w:r>
            <w:r>
              <w:t xml:space="preserve"> </w:t>
            </w:r>
          </w:p>
        </w:tc>
        <w:tc>
          <w:tcPr>
            <w:tcW w:w="2880" w:type="dxa"/>
            <w:tcBorders>
              <w:top w:val="single" w:sz="2" w:space="0" w:color="CCCCCC"/>
              <w:left w:val="single" w:sz="2" w:space="0" w:color="CCCCCC"/>
              <w:bottom w:val="single" w:sz="32" w:space="0" w:color="FFFFFF"/>
              <w:right w:val="single" w:sz="2" w:space="0" w:color="CCCCCC"/>
            </w:tcBorders>
            <w:shd w:val="clear" w:color="auto" w:fill="EAF2FB"/>
          </w:tcPr>
          <w:p w14:paraId="7C6C35EE" w14:textId="77777777" w:rsidR="000F6918" w:rsidRDefault="004D59C4">
            <w:pPr>
              <w:spacing w:after="0" w:line="259" w:lineRule="auto"/>
              <w:ind w:left="2" w:firstLine="0"/>
            </w:pPr>
            <w:r>
              <w:rPr>
                <w:sz w:val="20"/>
              </w:rPr>
              <w:t>NMT 10 ppm</w:t>
            </w:r>
            <w:r>
              <w:t xml:space="preserve"> </w:t>
            </w:r>
          </w:p>
        </w:tc>
        <w:tc>
          <w:tcPr>
            <w:tcW w:w="2001" w:type="dxa"/>
            <w:tcBorders>
              <w:top w:val="single" w:sz="2" w:space="0" w:color="CCCCCC"/>
              <w:left w:val="single" w:sz="2" w:space="0" w:color="CCCCCC"/>
              <w:bottom w:val="single" w:sz="32" w:space="0" w:color="FFFFFF"/>
              <w:right w:val="single" w:sz="2" w:space="0" w:color="CCCCCC"/>
            </w:tcBorders>
            <w:shd w:val="clear" w:color="auto" w:fill="EAF2FB"/>
          </w:tcPr>
          <w:p w14:paraId="5E5DEF1C" w14:textId="77777777" w:rsidR="000F6918" w:rsidRDefault="004D59C4">
            <w:pPr>
              <w:spacing w:after="0" w:line="259" w:lineRule="auto"/>
              <w:ind w:left="2" w:firstLine="0"/>
            </w:pPr>
            <w:r>
              <w:rPr>
                <w:sz w:val="20"/>
              </w:rPr>
              <w:t>NIL</w:t>
            </w:r>
            <w:r>
              <w:t xml:space="preserve"> </w:t>
            </w:r>
          </w:p>
        </w:tc>
        <w:tc>
          <w:tcPr>
            <w:tcW w:w="1879" w:type="dxa"/>
            <w:tcBorders>
              <w:top w:val="single" w:sz="32" w:space="0" w:color="EAF2FB"/>
              <w:left w:val="single" w:sz="2" w:space="0" w:color="CCCCCC"/>
              <w:bottom w:val="single" w:sz="32" w:space="0" w:color="FFFFFF"/>
              <w:right w:val="single" w:sz="2" w:space="0" w:color="CCCCCC"/>
            </w:tcBorders>
            <w:shd w:val="clear" w:color="auto" w:fill="EAF2FB"/>
          </w:tcPr>
          <w:p w14:paraId="54AAE48E"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1A43CAF9" w14:textId="77777777">
        <w:trPr>
          <w:trHeight w:val="652"/>
        </w:trPr>
        <w:tc>
          <w:tcPr>
            <w:tcW w:w="2601" w:type="dxa"/>
            <w:tcBorders>
              <w:top w:val="single" w:sz="32" w:space="0" w:color="FFFFFF"/>
              <w:left w:val="single" w:sz="2" w:space="0" w:color="CCCCCC"/>
              <w:bottom w:val="single" w:sz="2" w:space="0" w:color="CCCCCC"/>
              <w:right w:val="single" w:sz="2" w:space="0" w:color="CCCCCC"/>
            </w:tcBorders>
            <w:vAlign w:val="center"/>
          </w:tcPr>
          <w:p w14:paraId="493A7923" w14:textId="77777777" w:rsidR="000F6918" w:rsidRDefault="004D59C4">
            <w:pPr>
              <w:spacing w:after="0" w:line="259" w:lineRule="auto"/>
              <w:ind w:left="0" w:firstLine="0"/>
            </w:pPr>
            <w:r>
              <w:rPr>
                <w:sz w:val="20"/>
              </w:rPr>
              <w:t>Soluble Fraction in DM Water</w:t>
            </w:r>
            <w:r>
              <w:t xml:space="preserve"> </w:t>
            </w:r>
          </w:p>
        </w:tc>
        <w:tc>
          <w:tcPr>
            <w:tcW w:w="2880" w:type="dxa"/>
            <w:tcBorders>
              <w:top w:val="single" w:sz="32" w:space="0" w:color="FFFFFF"/>
              <w:left w:val="single" w:sz="2" w:space="0" w:color="CCCCCC"/>
              <w:bottom w:val="single" w:sz="2" w:space="0" w:color="CCCCCC"/>
              <w:right w:val="single" w:sz="2" w:space="0" w:color="CCCCCC"/>
            </w:tcBorders>
          </w:tcPr>
          <w:p w14:paraId="63461DA9" w14:textId="77777777" w:rsidR="000F6918" w:rsidRDefault="004D59C4">
            <w:pPr>
              <w:spacing w:after="0" w:line="259" w:lineRule="auto"/>
              <w:ind w:left="2" w:firstLine="0"/>
            </w:pPr>
            <w:r>
              <w:rPr>
                <w:sz w:val="20"/>
              </w:rPr>
              <w:t xml:space="preserve">8.0 </w:t>
            </w:r>
            <w:r>
              <w:rPr>
                <w:sz w:val="20"/>
              </w:rPr>
              <w:t>–</w:t>
            </w:r>
            <w:r>
              <w:rPr>
                <w:sz w:val="20"/>
              </w:rPr>
              <w:t xml:space="preserve"> 10.0%</w:t>
            </w:r>
            <w:r>
              <w:t xml:space="preserve"> </w:t>
            </w:r>
          </w:p>
        </w:tc>
        <w:tc>
          <w:tcPr>
            <w:tcW w:w="2001" w:type="dxa"/>
            <w:tcBorders>
              <w:top w:val="single" w:sz="32" w:space="0" w:color="FFFFFF"/>
              <w:left w:val="single" w:sz="2" w:space="0" w:color="CCCCCC"/>
              <w:bottom w:val="single" w:sz="2" w:space="0" w:color="CCCCCC"/>
              <w:right w:val="single" w:sz="2" w:space="0" w:color="CCCCCC"/>
            </w:tcBorders>
          </w:tcPr>
          <w:p w14:paraId="13ECD675" w14:textId="77777777" w:rsidR="000F6918" w:rsidRDefault="004D59C4">
            <w:pPr>
              <w:spacing w:after="0" w:line="259" w:lineRule="auto"/>
              <w:ind w:left="2" w:firstLine="0"/>
            </w:pPr>
            <w:r>
              <w:rPr>
                <w:sz w:val="20"/>
              </w:rPr>
              <w:t>9.69%</w:t>
            </w:r>
            <w:r>
              <w:t xml:space="preserve"> </w:t>
            </w:r>
          </w:p>
        </w:tc>
        <w:tc>
          <w:tcPr>
            <w:tcW w:w="1879" w:type="dxa"/>
            <w:tcBorders>
              <w:top w:val="single" w:sz="32" w:space="0" w:color="FFFFFF"/>
              <w:left w:val="single" w:sz="2" w:space="0" w:color="CCCCCC"/>
              <w:bottom w:val="single" w:sz="32" w:space="0" w:color="EAF2FB"/>
              <w:right w:val="single" w:sz="2" w:space="0" w:color="CCCCCC"/>
            </w:tcBorders>
          </w:tcPr>
          <w:p w14:paraId="7FEBF5DB"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r w:rsidR="000F6918" w14:paraId="5D8CF0A1" w14:textId="77777777">
        <w:trPr>
          <w:trHeight w:val="370"/>
        </w:trPr>
        <w:tc>
          <w:tcPr>
            <w:tcW w:w="2601" w:type="dxa"/>
            <w:tcBorders>
              <w:top w:val="single" w:sz="2" w:space="0" w:color="CCCCCC"/>
              <w:left w:val="single" w:sz="2" w:space="0" w:color="CCCCCC"/>
              <w:bottom w:val="single" w:sz="2" w:space="0" w:color="CCCCCC"/>
              <w:right w:val="single" w:sz="2" w:space="0" w:color="CCCCCC"/>
            </w:tcBorders>
            <w:shd w:val="clear" w:color="auto" w:fill="EAF2FB"/>
          </w:tcPr>
          <w:p w14:paraId="35CE620A" w14:textId="77777777" w:rsidR="000F6918" w:rsidRDefault="004D59C4">
            <w:pPr>
              <w:spacing w:after="0" w:line="259" w:lineRule="auto"/>
              <w:ind w:left="0" w:firstLine="0"/>
            </w:pPr>
            <w:r>
              <w:rPr>
                <w:sz w:val="20"/>
              </w:rPr>
              <w:t>Insoluble in Water</w:t>
            </w:r>
            <w:r>
              <w:t xml:space="preserve"> </w:t>
            </w:r>
          </w:p>
        </w:tc>
        <w:tc>
          <w:tcPr>
            <w:tcW w:w="2880" w:type="dxa"/>
            <w:tcBorders>
              <w:top w:val="single" w:sz="2" w:space="0" w:color="CCCCCC"/>
              <w:left w:val="single" w:sz="2" w:space="0" w:color="CCCCCC"/>
              <w:bottom w:val="single" w:sz="2" w:space="0" w:color="CCCCCC"/>
              <w:right w:val="single" w:sz="2" w:space="0" w:color="CCCCCC"/>
            </w:tcBorders>
            <w:shd w:val="clear" w:color="auto" w:fill="EAF2FB"/>
          </w:tcPr>
          <w:p w14:paraId="4993DA39" w14:textId="77777777" w:rsidR="000F6918" w:rsidRDefault="004D59C4">
            <w:pPr>
              <w:spacing w:after="0" w:line="259" w:lineRule="auto"/>
              <w:ind w:left="2" w:firstLine="0"/>
            </w:pPr>
            <w:r>
              <w:rPr>
                <w:sz w:val="20"/>
              </w:rPr>
              <w:t>NMT 1.0%</w:t>
            </w:r>
            <w:r>
              <w:t xml:space="preserve"> </w:t>
            </w:r>
          </w:p>
        </w:tc>
        <w:tc>
          <w:tcPr>
            <w:tcW w:w="2001" w:type="dxa"/>
            <w:tcBorders>
              <w:top w:val="single" w:sz="2" w:space="0" w:color="CCCCCC"/>
              <w:left w:val="single" w:sz="2" w:space="0" w:color="CCCCCC"/>
              <w:bottom w:val="single" w:sz="2" w:space="0" w:color="CCCCCC"/>
              <w:right w:val="single" w:sz="2" w:space="0" w:color="CCCCCC"/>
            </w:tcBorders>
            <w:shd w:val="clear" w:color="auto" w:fill="EAF2FB"/>
          </w:tcPr>
          <w:p w14:paraId="48278636" w14:textId="77777777" w:rsidR="000F6918" w:rsidRDefault="004D59C4">
            <w:pPr>
              <w:spacing w:after="0" w:line="259" w:lineRule="auto"/>
              <w:ind w:left="2" w:firstLine="0"/>
            </w:pPr>
            <w:r>
              <w:rPr>
                <w:sz w:val="20"/>
              </w:rPr>
              <w:t>0.01%</w:t>
            </w:r>
            <w:r>
              <w:t xml:space="preserve"> </w:t>
            </w:r>
          </w:p>
        </w:tc>
        <w:tc>
          <w:tcPr>
            <w:tcW w:w="1879" w:type="dxa"/>
            <w:tcBorders>
              <w:top w:val="single" w:sz="32" w:space="0" w:color="EAF2FB"/>
              <w:left w:val="single" w:sz="2" w:space="0" w:color="CCCCCC"/>
              <w:bottom w:val="single" w:sz="2" w:space="0" w:color="CCCCCC"/>
              <w:right w:val="single" w:sz="2" w:space="0" w:color="CCCCCC"/>
            </w:tcBorders>
            <w:shd w:val="clear" w:color="auto" w:fill="EAF2FB"/>
          </w:tcPr>
          <w:p w14:paraId="2F54A6BA" w14:textId="77777777" w:rsidR="000F6918" w:rsidRDefault="004D59C4">
            <w:pPr>
              <w:spacing w:after="0" w:line="259" w:lineRule="auto"/>
              <w:ind w:left="0" w:firstLine="0"/>
            </w:pPr>
            <w:r>
              <w:rPr>
                <w:rFonts w:ascii="Segoe UI Symbol" w:eastAsia="Segoe UI Symbol" w:hAnsi="Segoe UI Symbol" w:cs="Segoe UI Symbol"/>
                <w:sz w:val="20"/>
              </w:rPr>
              <w:t>✓</w:t>
            </w:r>
            <w:r>
              <w:rPr>
                <w:sz w:val="20"/>
              </w:rPr>
              <w:t xml:space="preserve"> Pass</w:t>
            </w:r>
            <w:r>
              <w:t xml:space="preserve"> </w:t>
            </w:r>
          </w:p>
        </w:tc>
      </w:tr>
    </w:tbl>
    <w:p w14:paraId="02F84023" w14:textId="77777777" w:rsidR="000F6918" w:rsidRDefault="004D59C4">
      <w:pPr>
        <w:spacing w:after="32" w:line="259" w:lineRule="auto"/>
        <w:ind w:left="0" w:firstLine="0"/>
      </w:pPr>
      <w:r>
        <w:t xml:space="preserve"> </w:t>
      </w:r>
    </w:p>
    <w:p w14:paraId="08C1248F" w14:textId="77777777" w:rsidR="000F6918" w:rsidRDefault="004D59C4">
      <w:pPr>
        <w:spacing w:after="35" w:line="259" w:lineRule="auto"/>
        <w:ind w:left="-5"/>
      </w:pPr>
      <w:r>
        <w:rPr>
          <w:i/>
          <w:color w:val="555555"/>
          <w:sz w:val="19"/>
        </w:rPr>
        <w:t>Batch / Lot No.: PRM/CHT-60FG/01/01-</w:t>
      </w:r>
      <w:r>
        <w:rPr>
          <w:i/>
          <w:color w:val="555555"/>
          <w:sz w:val="19"/>
        </w:rPr>
        <w:t>2026 | Date of Manufacture: January 2026 | Expiry: December 2028</w:t>
      </w:r>
      <w:r>
        <w:t xml:space="preserve"> </w:t>
      </w:r>
    </w:p>
    <w:p w14:paraId="74A42B02" w14:textId="77777777" w:rsidR="000F6918" w:rsidRDefault="004D59C4">
      <w:pPr>
        <w:spacing w:after="63" w:line="259" w:lineRule="auto"/>
        <w:ind w:left="-5"/>
      </w:pPr>
      <w:r>
        <w:rPr>
          <w:i/>
          <w:color w:val="555555"/>
          <w:sz w:val="19"/>
        </w:rPr>
        <w:t>Source: Lenzites Betulina Mushroom (non-crustacean, vegan-compatible) | Molecular Formula: (C</w:t>
      </w:r>
      <w:r>
        <w:rPr>
          <w:rFonts w:ascii="Cambria Math" w:eastAsia="Cambria Math" w:hAnsi="Cambria Math" w:cs="Cambria Math"/>
          <w:color w:val="555555"/>
          <w:sz w:val="20"/>
        </w:rPr>
        <w:t>₁₂</w:t>
      </w:r>
      <w:r>
        <w:rPr>
          <w:i/>
          <w:color w:val="555555"/>
          <w:sz w:val="19"/>
        </w:rPr>
        <w:t>H</w:t>
      </w:r>
      <w:r>
        <w:rPr>
          <w:rFonts w:ascii="Cambria Math" w:eastAsia="Cambria Math" w:hAnsi="Cambria Math" w:cs="Cambria Math"/>
          <w:color w:val="555555"/>
          <w:sz w:val="20"/>
        </w:rPr>
        <w:t>₂₄</w:t>
      </w:r>
      <w:r>
        <w:rPr>
          <w:i/>
          <w:color w:val="555555"/>
          <w:sz w:val="19"/>
        </w:rPr>
        <w:t>N</w:t>
      </w:r>
      <w:r>
        <w:rPr>
          <w:rFonts w:ascii="Cambria Math" w:eastAsia="Cambria Math" w:hAnsi="Cambria Math" w:cs="Cambria Math"/>
          <w:color w:val="555555"/>
          <w:sz w:val="20"/>
        </w:rPr>
        <w:t>₂</w:t>
      </w:r>
      <w:r>
        <w:rPr>
          <w:i/>
          <w:color w:val="555555"/>
          <w:sz w:val="19"/>
        </w:rPr>
        <w:t>O</w:t>
      </w:r>
      <w:proofErr w:type="gramStart"/>
      <w:r>
        <w:rPr>
          <w:rFonts w:ascii="Cambria Math" w:eastAsia="Cambria Math" w:hAnsi="Cambria Math" w:cs="Cambria Math"/>
          <w:color w:val="555555"/>
          <w:sz w:val="20"/>
        </w:rPr>
        <w:t>₉</w:t>
      </w:r>
      <w:r>
        <w:rPr>
          <w:i/>
          <w:color w:val="555555"/>
          <w:sz w:val="19"/>
        </w:rPr>
        <w:t>)n</w:t>
      </w:r>
      <w:proofErr w:type="gramEnd"/>
      <w:r>
        <w:t xml:space="preserve"> </w:t>
      </w:r>
    </w:p>
    <w:p w14:paraId="5912F13D" w14:textId="77777777" w:rsidR="000F6918" w:rsidRDefault="004D59C4">
      <w:pPr>
        <w:spacing w:after="431" w:line="259" w:lineRule="auto"/>
        <w:ind w:left="0" w:firstLine="0"/>
      </w:pPr>
      <w:r>
        <w:t xml:space="preserve"> </w:t>
      </w:r>
    </w:p>
    <w:p w14:paraId="46BD9617" w14:textId="77777777" w:rsidR="000F6918" w:rsidRDefault="004D59C4">
      <w:pPr>
        <w:pStyle w:val="Heading2"/>
        <w:ind w:left="-5" w:right="0"/>
      </w:pPr>
      <w:r>
        <w:t>7. Safety Profile</w:t>
      </w:r>
      <w:r>
        <w:rPr>
          <w:b w:val="0"/>
          <w:color w:val="2E74B5"/>
        </w:rPr>
        <w:t xml:space="preserve"> </w:t>
      </w:r>
    </w:p>
    <w:p w14:paraId="7233BD87"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4472FBA2" wp14:editId="0A2C5D1B">
                <wp:extent cx="6209665" cy="9144"/>
                <wp:effectExtent l="0" t="0" r="0" b="0"/>
                <wp:docPr id="18249" name="Group 18249"/>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47" name="Shape 19147"/>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8249" style="width:488.95pt;height:0.720001pt;mso-position-horizontal-relative:char;mso-position-vertical-relative:line" coordsize="62096,91">
                <v:shape id="Shape 19148"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45FAE7B1" w14:textId="77777777" w:rsidR="000F6918" w:rsidRDefault="004D59C4">
      <w:r>
        <w:t xml:space="preserve">Chitosan Oligosaccharide Lactate (CAS 148411-57-8) exhibits an excellent safety profile as documented in the Material Safety Data Sheet (MSDS) provided by Promecens Entosystems Private Limited. Key safety parameters relevant to swine production are summarized below. </w:t>
      </w:r>
    </w:p>
    <w:p w14:paraId="459750AF" w14:textId="77777777" w:rsidR="000F6918" w:rsidRDefault="004D59C4">
      <w:pPr>
        <w:spacing w:after="256" w:line="259" w:lineRule="auto"/>
        <w:ind w:left="0" w:firstLine="0"/>
      </w:pPr>
      <w:r>
        <w:t xml:space="preserve"> </w:t>
      </w:r>
    </w:p>
    <w:p w14:paraId="58FF2C2E" w14:textId="77777777" w:rsidR="000F6918" w:rsidRDefault="004D59C4">
      <w:pPr>
        <w:pStyle w:val="Heading3"/>
        <w:ind w:left="-5"/>
      </w:pPr>
      <w:r>
        <w:t>7.1 Toxicological Data</w:t>
      </w:r>
      <w:r>
        <w:rPr>
          <w:b w:val="0"/>
          <w:color w:val="2E74B5"/>
        </w:rPr>
        <w:t xml:space="preserve"> </w:t>
      </w:r>
    </w:p>
    <w:p w14:paraId="504EBC0C" w14:textId="77777777" w:rsidR="000F6918" w:rsidRDefault="004D59C4">
      <w:pPr>
        <w:numPr>
          <w:ilvl w:val="0"/>
          <w:numId w:val="3"/>
        </w:numPr>
        <w:ind w:hanging="360"/>
      </w:pPr>
      <w:r>
        <w:t xml:space="preserve">Acute oral LD50 &gt; 10,000 mg/kg in rat studies </w:t>
      </w:r>
      <w:r>
        <w:t>–</w:t>
      </w:r>
      <w:r>
        <w:t xml:space="preserve"> classified as practically non-toxic. </w:t>
      </w:r>
    </w:p>
    <w:p w14:paraId="7791024E" w14:textId="77777777" w:rsidR="000F6918" w:rsidRDefault="004D59C4">
      <w:pPr>
        <w:numPr>
          <w:ilvl w:val="0"/>
          <w:numId w:val="3"/>
        </w:numPr>
        <w:ind w:hanging="360"/>
      </w:pPr>
      <w:r>
        <w:t xml:space="preserve">Not classified as hazardous per EC 1272/2008 (GHS). No hazard pictograms required. </w:t>
      </w:r>
    </w:p>
    <w:p w14:paraId="11126466" w14:textId="77777777" w:rsidR="000F6918" w:rsidRDefault="004D59C4">
      <w:pPr>
        <w:numPr>
          <w:ilvl w:val="0"/>
          <w:numId w:val="3"/>
        </w:numPr>
        <w:ind w:hanging="360"/>
      </w:pPr>
      <w:r>
        <w:t xml:space="preserve">No known carcinogenicity, mutagenicity, or reproductive toxicity. </w:t>
      </w:r>
    </w:p>
    <w:p w14:paraId="09A24C7D" w14:textId="77777777" w:rsidR="000F6918" w:rsidRDefault="004D59C4">
      <w:pPr>
        <w:numPr>
          <w:ilvl w:val="0"/>
          <w:numId w:val="3"/>
        </w:numPr>
        <w:ind w:hanging="360"/>
      </w:pPr>
      <w:r>
        <w:t xml:space="preserve">No significant skin or eye irritation under normal handling conditions. </w:t>
      </w:r>
    </w:p>
    <w:p w14:paraId="325D0A10" w14:textId="77777777" w:rsidR="000F6918" w:rsidRDefault="004D59C4">
      <w:pPr>
        <w:numPr>
          <w:ilvl w:val="0"/>
          <w:numId w:val="3"/>
        </w:numPr>
        <w:ind w:hanging="360"/>
      </w:pPr>
      <w:r>
        <w:t xml:space="preserve">Biodegradable natural polymer; not persistent, bioaccumulative, or toxic (non-PBT). </w:t>
      </w:r>
    </w:p>
    <w:p w14:paraId="3657D98F" w14:textId="77777777" w:rsidR="000F6918" w:rsidRDefault="004D59C4">
      <w:pPr>
        <w:spacing w:after="257" w:line="259" w:lineRule="auto"/>
        <w:ind w:left="0" w:firstLine="0"/>
      </w:pPr>
      <w:r>
        <w:t xml:space="preserve"> </w:t>
      </w:r>
    </w:p>
    <w:p w14:paraId="6342234E" w14:textId="77777777" w:rsidR="000F6918" w:rsidRDefault="004D59C4">
      <w:pPr>
        <w:pStyle w:val="Heading3"/>
        <w:ind w:left="-5"/>
      </w:pPr>
      <w:r>
        <w:t>7.2 Tolerance in Swine</w:t>
      </w:r>
      <w:r>
        <w:rPr>
          <w:b w:val="0"/>
          <w:color w:val="2E74B5"/>
        </w:rPr>
        <w:t xml:space="preserve"> </w:t>
      </w:r>
    </w:p>
    <w:p w14:paraId="7B5157CD" w14:textId="77777777" w:rsidR="000F6918" w:rsidRDefault="004D59C4">
      <w:pPr>
        <w:numPr>
          <w:ilvl w:val="0"/>
          <w:numId w:val="4"/>
        </w:numPr>
        <w:ind w:hanging="360"/>
      </w:pPr>
      <w:r>
        <w:t xml:space="preserve">Inclusions up to 5,000 mg/kg (0.5%) for 42 days have been reported as well-tolerated with no adverse effects. </w:t>
      </w:r>
    </w:p>
    <w:p w14:paraId="7AA245F6" w14:textId="77777777" w:rsidR="000F6918" w:rsidRDefault="004D59C4">
      <w:pPr>
        <w:numPr>
          <w:ilvl w:val="0"/>
          <w:numId w:val="4"/>
        </w:numPr>
        <w:ind w:hanging="360"/>
      </w:pPr>
      <w:r>
        <w:lastRenderedPageBreak/>
        <w:t>The recommended dose of 560</w:t>
      </w:r>
      <w:r>
        <w:t>–</w:t>
      </w:r>
      <w:r>
        <w:t xml:space="preserve">565 mg/kg represents less than 11.3% of the established upper tolerance level, providing a substantial safety margin. </w:t>
      </w:r>
    </w:p>
    <w:p w14:paraId="3E62DD30" w14:textId="77777777" w:rsidR="000F6918" w:rsidRDefault="004D59C4">
      <w:pPr>
        <w:numPr>
          <w:ilvl w:val="0"/>
          <w:numId w:val="4"/>
        </w:numPr>
        <w:ind w:hanging="360"/>
      </w:pPr>
      <w:r>
        <w:t xml:space="preserve">No drug-nutrient interactions reported at recommended inclusion levels. </w:t>
      </w:r>
    </w:p>
    <w:p w14:paraId="71CC46C9" w14:textId="77777777" w:rsidR="000F6918" w:rsidRDefault="004D59C4">
      <w:pPr>
        <w:spacing w:after="256" w:line="259" w:lineRule="auto"/>
        <w:ind w:left="0" w:firstLine="0"/>
      </w:pPr>
      <w:r>
        <w:t xml:space="preserve"> </w:t>
      </w:r>
    </w:p>
    <w:p w14:paraId="44C490BE" w14:textId="77777777" w:rsidR="000F6918" w:rsidRDefault="004D59C4">
      <w:pPr>
        <w:pStyle w:val="Heading3"/>
        <w:ind w:left="-5"/>
      </w:pPr>
      <w:r>
        <w:t>7.3 Handling &amp; Storage</w:t>
      </w:r>
      <w:r>
        <w:rPr>
          <w:b w:val="0"/>
          <w:color w:val="2E74B5"/>
        </w:rPr>
        <w:t xml:space="preserve"> </w:t>
      </w:r>
    </w:p>
    <w:p w14:paraId="43F1AF73" w14:textId="77777777" w:rsidR="000F6918" w:rsidRDefault="004D59C4">
      <w:pPr>
        <w:numPr>
          <w:ilvl w:val="0"/>
          <w:numId w:val="5"/>
        </w:numPr>
        <w:ind w:hanging="360"/>
      </w:pPr>
      <w:r>
        <w:t xml:space="preserve">Store below 30°C in sealed containers; dry, cool, well-ventilated area. Shelf life: 2 years from </w:t>
      </w:r>
      <w:proofErr w:type="gramStart"/>
      <w:r>
        <w:t>manufacture</w:t>
      </w:r>
      <w:proofErr w:type="gramEnd"/>
      <w:r>
        <w:t xml:space="preserve">. </w:t>
      </w:r>
    </w:p>
    <w:p w14:paraId="29E4B43B" w14:textId="77777777" w:rsidR="000F6918" w:rsidRDefault="004D59C4">
      <w:pPr>
        <w:numPr>
          <w:ilvl w:val="0"/>
          <w:numId w:val="5"/>
        </w:numPr>
        <w:ind w:hanging="360"/>
      </w:pPr>
      <w:r>
        <w:t xml:space="preserve">Use nitrile gloves, eye protection, and dust mask when handling bulk powder. </w:t>
      </w:r>
    </w:p>
    <w:p w14:paraId="45E31306" w14:textId="77777777" w:rsidR="000F6918" w:rsidRDefault="004D59C4">
      <w:pPr>
        <w:numPr>
          <w:ilvl w:val="0"/>
          <w:numId w:val="5"/>
        </w:numPr>
        <w:spacing w:after="76"/>
        <w:ind w:hanging="360"/>
      </w:pPr>
      <w:r>
        <w:t xml:space="preserve">Not classified as dangerous goods for transport (ADR/RID, IMDG, IATA). </w:t>
      </w:r>
    </w:p>
    <w:p w14:paraId="335DB3FB" w14:textId="77777777" w:rsidR="000F6918" w:rsidRDefault="004D59C4">
      <w:pPr>
        <w:spacing w:after="431" w:line="259" w:lineRule="auto"/>
        <w:ind w:left="0" w:firstLine="0"/>
      </w:pPr>
      <w:r>
        <w:t xml:space="preserve"> </w:t>
      </w:r>
    </w:p>
    <w:p w14:paraId="2CCE861E" w14:textId="77777777" w:rsidR="000F6918" w:rsidRDefault="004D59C4">
      <w:pPr>
        <w:pStyle w:val="Heading2"/>
        <w:ind w:left="-5" w:right="0"/>
      </w:pPr>
      <w:r>
        <w:t>8. Application Guidelines</w:t>
      </w:r>
      <w:r>
        <w:rPr>
          <w:b w:val="0"/>
          <w:color w:val="2E74B5"/>
        </w:rPr>
        <w:t xml:space="preserve"> </w:t>
      </w:r>
    </w:p>
    <w:p w14:paraId="09FBEFE3" w14:textId="77777777" w:rsidR="000F6918" w:rsidRDefault="004D59C4">
      <w:pPr>
        <w:spacing w:after="298" w:line="259" w:lineRule="auto"/>
        <w:ind w:left="-29" w:right="-27" w:firstLine="0"/>
      </w:pPr>
      <w:r>
        <w:rPr>
          <w:rFonts w:ascii="Calibri" w:eastAsia="Calibri" w:hAnsi="Calibri" w:cs="Calibri"/>
          <w:noProof/>
        </w:rPr>
        <mc:AlternateContent>
          <mc:Choice Requires="wpg">
            <w:drawing>
              <wp:inline distT="0" distB="0" distL="0" distR="0" wp14:anchorId="62FC93D2" wp14:editId="0EBFD647">
                <wp:extent cx="6209665" cy="9144"/>
                <wp:effectExtent l="0" t="0" r="0" b="0"/>
                <wp:docPr id="17813" name="Group 17813"/>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49" name="Shape 19149"/>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7813" style="width:488.95pt;height:0.719971pt;mso-position-horizontal-relative:char;mso-position-vertical-relative:line" coordsize="62096,91">
                <v:shape id="Shape 19150"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212E99C7" w14:textId="77777777" w:rsidR="000F6918" w:rsidRDefault="004D59C4">
      <w:pPr>
        <w:pStyle w:val="Heading3"/>
        <w:spacing w:after="0"/>
        <w:ind w:left="-5"/>
      </w:pPr>
      <w:r>
        <w:t>8.1 Target Species and Phases</w:t>
      </w:r>
      <w:r>
        <w:rPr>
          <w:b w:val="0"/>
          <w:color w:val="2E74B5"/>
        </w:rPr>
        <w:t xml:space="preserve"> </w:t>
      </w:r>
    </w:p>
    <w:tbl>
      <w:tblPr>
        <w:tblStyle w:val="TableGrid"/>
        <w:tblW w:w="9360" w:type="dxa"/>
        <w:tblInd w:w="0" w:type="dxa"/>
        <w:tblCellMar>
          <w:top w:w="91" w:type="dxa"/>
          <w:left w:w="120" w:type="dxa"/>
          <w:bottom w:w="0" w:type="dxa"/>
          <w:right w:w="115" w:type="dxa"/>
        </w:tblCellMar>
        <w:tblLook w:val="04A0" w:firstRow="1" w:lastRow="0" w:firstColumn="1" w:lastColumn="0" w:noHBand="0" w:noVBand="1"/>
      </w:tblPr>
      <w:tblGrid>
        <w:gridCol w:w="2801"/>
        <w:gridCol w:w="1999"/>
        <w:gridCol w:w="2001"/>
        <w:gridCol w:w="2559"/>
      </w:tblGrid>
      <w:tr w:rsidR="000F6918" w14:paraId="63615197" w14:textId="77777777">
        <w:trPr>
          <w:trHeight w:val="592"/>
        </w:trPr>
        <w:tc>
          <w:tcPr>
            <w:tcW w:w="2801" w:type="dxa"/>
            <w:tcBorders>
              <w:top w:val="single" w:sz="33" w:space="0" w:color="1A5276"/>
              <w:left w:val="single" w:sz="2" w:space="0" w:color="1A5276"/>
              <w:bottom w:val="single" w:sz="32" w:space="0" w:color="FFFFFF"/>
              <w:right w:val="single" w:sz="2" w:space="0" w:color="1A5276"/>
            </w:tcBorders>
            <w:shd w:val="clear" w:color="auto" w:fill="1A5276"/>
          </w:tcPr>
          <w:p w14:paraId="13CE379E" w14:textId="77777777" w:rsidR="000F6918" w:rsidRDefault="004D59C4">
            <w:pPr>
              <w:spacing w:after="0" w:line="259" w:lineRule="auto"/>
              <w:ind w:left="0" w:right="10" w:firstLine="0"/>
              <w:jc w:val="center"/>
            </w:pPr>
            <w:r>
              <w:rPr>
                <w:b/>
                <w:color w:val="FFFFFF"/>
                <w:sz w:val="20"/>
              </w:rPr>
              <w:t>Production Phase</w:t>
            </w:r>
            <w:r>
              <w:t xml:space="preserve"> </w:t>
            </w:r>
          </w:p>
        </w:tc>
        <w:tc>
          <w:tcPr>
            <w:tcW w:w="1999" w:type="dxa"/>
            <w:tcBorders>
              <w:top w:val="single" w:sz="33" w:space="0" w:color="1A5276"/>
              <w:left w:val="single" w:sz="2" w:space="0" w:color="1A5276"/>
              <w:bottom w:val="single" w:sz="32" w:space="0" w:color="FFFFFF"/>
              <w:right w:val="single" w:sz="2" w:space="0" w:color="1A5276"/>
            </w:tcBorders>
            <w:shd w:val="clear" w:color="auto" w:fill="1A5276"/>
          </w:tcPr>
          <w:p w14:paraId="69387772" w14:textId="77777777" w:rsidR="000F6918" w:rsidRDefault="004D59C4">
            <w:pPr>
              <w:spacing w:after="0" w:line="259" w:lineRule="auto"/>
              <w:ind w:left="0" w:firstLine="0"/>
              <w:jc w:val="center"/>
            </w:pPr>
            <w:r>
              <w:rPr>
                <w:b/>
                <w:color w:val="FFFFFF"/>
                <w:sz w:val="20"/>
              </w:rPr>
              <w:t>Body Weight Range</w:t>
            </w:r>
            <w:r>
              <w:t xml:space="preserve"> </w:t>
            </w:r>
          </w:p>
        </w:tc>
        <w:tc>
          <w:tcPr>
            <w:tcW w:w="2001" w:type="dxa"/>
            <w:tcBorders>
              <w:top w:val="single" w:sz="33" w:space="0" w:color="1A5276"/>
              <w:left w:val="single" w:sz="2" w:space="0" w:color="1A5276"/>
              <w:bottom w:val="single" w:sz="32" w:space="0" w:color="FFFFFF"/>
              <w:right w:val="single" w:sz="2" w:space="0" w:color="1A5276"/>
            </w:tcBorders>
            <w:shd w:val="clear" w:color="auto" w:fill="1A5276"/>
          </w:tcPr>
          <w:p w14:paraId="364B4275" w14:textId="77777777" w:rsidR="000F6918" w:rsidRDefault="004D59C4">
            <w:pPr>
              <w:spacing w:after="0" w:line="259" w:lineRule="auto"/>
              <w:ind w:left="0" w:right="12" w:firstLine="0"/>
              <w:jc w:val="center"/>
            </w:pPr>
            <w:r>
              <w:rPr>
                <w:b/>
                <w:color w:val="FFFFFF"/>
                <w:sz w:val="20"/>
              </w:rPr>
              <w:t>Inclusion Rate</w:t>
            </w:r>
            <w:r>
              <w:t xml:space="preserve"> </w:t>
            </w:r>
          </w:p>
        </w:tc>
        <w:tc>
          <w:tcPr>
            <w:tcW w:w="2559" w:type="dxa"/>
            <w:tcBorders>
              <w:top w:val="single" w:sz="33" w:space="0" w:color="1A5276"/>
              <w:left w:val="single" w:sz="2" w:space="0" w:color="1A5276"/>
              <w:bottom w:val="single" w:sz="32" w:space="0" w:color="FFFFFF"/>
              <w:right w:val="single" w:sz="2" w:space="0" w:color="1A5276"/>
            </w:tcBorders>
            <w:shd w:val="clear" w:color="auto" w:fill="1A5276"/>
          </w:tcPr>
          <w:p w14:paraId="00414784" w14:textId="77777777" w:rsidR="000F6918" w:rsidRDefault="004D59C4">
            <w:pPr>
              <w:spacing w:after="0" w:line="259" w:lineRule="auto"/>
              <w:ind w:left="0" w:right="4" w:firstLine="0"/>
              <w:jc w:val="center"/>
            </w:pPr>
            <w:r>
              <w:rPr>
                <w:b/>
                <w:color w:val="FFFFFF"/>
                <w:sz w:val="20"/>
              </w:rPr>
              <w:t>Priority</w:t>
            </w:r>
            <w:r>
              <w:t xml:space="preserve"> </w:t>
            </w:r>
          </w:p>
        </w:tc>
      </w:tr>
      <w:tr w:rsidR="000F6918" w14:paraId="37A808D5" w14:textId="77777777">
        <w:trPr>
          <w:trHeight w:val="652"/>
        </w:trPr>
        <w:tc>
          <w:tcPr>
            <w:tcW w:w="2801" w:type="dxa"/>
            <w:tcBorders>
              <w:top w:val="single" w:sz="32" w:space="0" w:color="FFFFFF"/>
              <w:left w:val="single" w:sz="2" w:space="0" w:color="CCCCCC"/>
              <w:bottom w:val="single" w:sz="2" w:space="0" w:color="CCCCCC"/>
              <w:right w:val="single" w:sz="2" w:space="0" w:color="CCCCCC"/>
            </w:tcBorders>
            <w:vAlign w:val="center"/>
          </w:tcPr>
          <w:p w14:paraId="2784085E" w14:textId="77777777" w:rsidR="000F6918" w:rsidRDefault="004D59C4">
            <w:pPr>
              <w:spacing w:after="0" w:line="259" w:lineRule="auto"/>
              <w:ind w:left="0" w:firstLine="0"/>
            </w:pPr>
            <w:r>
              <w:rPr>
                <w:sz w:val="20"/>
              </w:rPr>
              <w:t>Nursery / Post-Weaning (Primary)</w:t>
            </w:r>
            <w:r>
              <w:t xml:space="preserve"> </w:t>
            </w:r>
          </w:p>
        </w:tc>
        <w:tc>
          <w:tcPr>
            <w:tcW w:w="1999" w:type="dxa"/>
            <w:tcBorders>
              <w:top w:val="single" w:sz="32" w:space="0" w:color="FFFFFF"/>
              <w:left w:val="single" w:sz="2" w:space="0" w:color="CCCCCC"/>
              <w:bottom w:val="single" w:sz="2" w:space="0" w:color="CCCCCC"/>
              <w:right w:val="single" w:sz="2" w:space="0" w:color="CCCCCC"/>
            </w:tcBorders>
          </w:tcPr>
          <w:p w14:paraId="0F41BF57" w14:textId="77777777" w:rsidR="000F6918" w:rsidRDefault="004D59C4">
            <w:pPr>
              <w:spacing w:after="0" w:line="259" w:lineRule="auto"/>
              <w:ind w:left="0" w:firstLine="0"/>
            </w:pPr>
            <w:r>
              <w:rPr>
                <w:sz w:val="20"/>
              </w:rPr>
              <w:t xml:space="preserve">5 </w:t>
            </w:r>
            <w:r>
              <w:rPr>
                <w:sz w:val="20"/>
              </w:rPr>
              <w:t>–</w:t>
            </w:r>
            <w:r>
              <w:rPr>
                <w:sz w:val="20"/>
              </w:rPr>
              <w:t xml:space="preserve"> 25 kg</w:t>
            </w:r>
            <w:r>
              <w:t xml:space="preserve"> </w:t>
            </w:r>
          </w:p>
        </w:tc>
        <w:tc>
          <w:tcPr>
            <w:tcW w:w="2001" w:type="dxa"/>
            <w:tcBorders>
              <w:top w:val="single" w:sz="32" w:space="0" w:color="FFFFFF"/>
              <w:left w:val="single" w:sz="2" w:space="0" w:color="CCCCCC"/>
              <w:bottom w:val="single" w:sz="2" w:space="0" w:color="CCCCCC"/>
              <w:right w:val="single" w:sz="2" w:space="0" w:color="CCCCCC"/>
            </w:tcBorders>
          </w:tcPr>
          <w:p w14:paraId="68562121" w14:textId="77777777" w:rsidR="000F6918" w:rsidRDefault="004D59C4">
            <w:pPr>
              <w:spacing w:after="0" w:line="259" w:lineRule="auto"/>
              <w:ind w:left="0" w:firstLine="0"/>
            </w:pPr>
            <w:r>
              <w:rPr>
                <w:sz w:val="20"/>
              </w:rPr>
              <w:t xml:space="preserve">560 </w:t>
            </w:r>
            <w:r>
              <w:rPr>
                <w:sz w:val="20"/>
              </w:rPr>
              <w:t>–</w:t>
            </w:r>
            <w:r>
              <w:rPr>
                <w:sz w:val="20"/>
              </w:rPr>
              <w:t xml:space="preserve"> </w:t>
            </w:r>
            <w:r>
              <w:rPr>
                <w:sz w:val="20"/>
              </w:rPr>
              <w:t>565 mg/kg</w:t>
            </w:r>
            <w:r>
              <w:t xml:space="preserve"> </w:t>
            </w:r>
          </w:p>
        </w:tc>
        <w:tc>
          <w:tcPr>
            <w:tcW w:w="2559" w:type="dxa"/>
            <w:tcBorders>
              <w:top w:val="single" w:sz="32" w:space="0" w:color="FFFFFF"/>
              <w:left w:val="single" w:sz="2" w:space="0" w:color="CCCCCC"/>
              <w:bottom w:val="single" w:sz="2" w:space="0" w:color="CCCCCC"/>
              <w:right w:val="single" w:sz="2" w:space="0" w:color="CCCCCC"/>
            </w:tcBorders>
            <w:vAlign w:val="center"/>
          </w:tcPr>
          <w:p w14:paraId="4B41D57D" w14:textId="77777777" w:rsidR="000F6918" w:rsidRDefault="004D59C4">
            <w:pPr>
              <w:spacing w:after="0" w:line="259" w:lineRule="auto"/>
              <w:ind w:left="1" w:firstLine="0"/>
            </w:pPr>
            <w:r>
              <w:rPr>
                <w:sz w:val="20"/>
              </w:rPr>
              <w:t xml:space="preserve">HIGH </w:t>
            </w:r>
            <w:r>
              <w:rPr>
                <w:sz w:val="20"/>
              </w:rPr>
              <w:t>–</w:t>
            </w:r>
            <w:r>
              <w:rPr>
                <w:sz w:val="20"/>
              </w:rPr>
              <w:t xml:space="preserve"> strongest evidence base</w:t>
            </w:r>
            <w:r>
              <w:t xml:space="preserve"> </w:t>
            </w:r>
          </w:p>
        </w:tc>
      </w:tr>
      <w:tr w:rsidR="000F6918" w14:paraId="3EA83AF4" w14:textId="77777777">
        <w:trPr>
          <w:trHeight w:val="592"/>
        </w:trPr>
        <w:tc>
          <w:tcPr>
            <w:tcW w:w="2801" w:type="dxa"/>
            <w:tcBorders>
              <w:top w:val="single" w:sz="2" w:space="0" w:color="CCCCCC"/>
              <w:left w:val="single" w:sz="2" w:space="0" w:color="CCCCCC"/>
              <w:bottom w:val="single" w:sz="32" w:space="0" w:color="FFFFFF"/>
              <w:right w:val="single" w:sz="2" w:space="0" w:color="CCCCCC"/>
            </w:tcBorders>
            <w:shd w:val="clear" w:color="auto" w:fill="EAF2FB"/>
          </w:tcPr>
          <w:p w14:paraId="4467A6D9" w14:textId="77777777" w:rsidR="000F6918" w:rsidRDefault="004D59C4">
            <w:pPr>
              <w:spacing w:after="0" w:line="259" w:lineRule="auto"/>
              <w:ind w:left="0" w:firstLine="0"/>
            </w:pPr>
            <w:r>
              <w:rPr>
                <w:sz w:val="20"/>
              </w:rPr>
              <w:t>Growing Pigs (Secondary)</w:t>
            </w:r>
            <w:r>
              <w:t xml:space="preserve"> </w:t>
            </w:r>
          </w:p>
        </w:tc>
        <w:tc>
          <w:tcPr>
            <w:tcW w:w="1999" w:type="dxa"/>
            <w:tcBorders>
              <w:top w:val="single" w:sz="2" w:space="0" w:color="CCCCCC"/>
              <w:left w:val="single" w:sz="2" w:space="0" w:color="CCCCCC"/>
              <w:bottom w:val="single" w:sz="32" w:space="0" w:color="FFFFFF"/>
              <w:right w:val="single" w:sz="2" w:space="0" w:color="CCCCCC"/>
            </w:tcBorders>
            <w:shd w:val="clear" w:color="auto" w:fill="EAF2FB"/>
          </w:tcPr>
          <w:p w14:paraId="5778BA02" w14:textId="77777777" w:rsidR="000F6918" w:rsidRDefault="004D59C4">
            <w:pPr>
              <w:spacing w:after="0" w:line="259" w:lineRule="auto"/>
              <w:ind w:left="0" w:firstLine="0"/>
            </w:pPr>
            <w:r>
              <w:rPr>
                <w:sz w:val="20"/>
              </w:rPr>
              <w:t xml:space="preserve">25 </w:t>
            </w:r>
            <w:r>
              <w:rPr>
                <w:sz w:val="20"/>
              </w:rPr>
              <w:t>–</w:t>
            </w:r>
            <w:r>
              <w:rPr>
                <w:sz w:val="20"/>
              </w:rPr>
              <w:t xml:space="preserve"> 60 kg</w:t>
            </w:r>
            <w:r>
              <w:t xml:space="preserve"> </w:t>
            </w:r>
          </w:p>
        </w:tc>
        <w:tc>
          <w:tcPr>
            <w:tcW w:w="2001" w:type="dxa"/>
            <w:tcBorders>
              <w:top w:val="single" w:sz="2" w:space="0" w:color="CCCCCC"/>
              <w:left w:val="single" w:sz="2" w:space="0" w:color="CCCCCC"/>
              <w:bottom w:val="single" w:sz="32" w:space="0" w:color="FFFFFF"/>
              <w:right w:val="single" w:sz="2" w:space="0" w:color="CCCCCC"/>
            </w:tcBorders>
            <w:shd w:val="clear" w:color="auto" w:fill="EAF2FB"/>
          </w:tcPr>
          <w:p w14:paraId="4D84BD23" w14:textId="77777777" w:rsidR="000F6918" w:rsidRDefault="004D59C4">
            <w:pPr>
              <w:spacing w:after="0" w:line="259" w:lineRule="auto"/>
              <w:ind w:left="0" w:firstLine="0"/>
            </w:pPr>
            <w:r>
              <w:rPr>
                <w:sz w:val="20"/>
              </w:rPr>
              <w:t xml:space="preserve">500 </w:t>
            </w:r>
            <w:r>
              <w:rPr>
                <w:sz w:val="20"/>
              </w:rPr>
              <w:t>–</w:t>
            </w:r>
            <w:r>
              <w:rPr>
                <w:sz w:val="20"/>
              </w:rPr>
              <w:t xml:space="preserve"> 565 mg/kg</w:t>
            </w:r>
            <w:r>
              <w:t xml:space="preserve"> </w:t>
            </w:r>
          </w:p>
        </w:tc>
        <w:tc>
          <w:tcPr>
            <w:tcW w:w="2559" w:type="dxa"/>
            <w:tcBorders>
              <w:top w:val="single" w:sz="2" w:space="0" w:color="CCCCCC"/>
              <w:left w:val="single" w:sz="2" w:space="0" w:color="CCCCCC"/>
              <w:bottom w:val="single" w:sz="32" w:space="0" w:color="FFFFFF"/>
              <w:right w:val="single" w:sz="2" w:space="0" w:color="CCCCCC"/>
            </w:tcBorders>
            <w:shd w:val="clear" w:color="auto" w:fill="EAF2FB"/>
          </w:tcPr>
          <w:p w14:paraId="7858BC75" w14:textId="77777777" w:rsidR="000F6918" w:rsidRDefault="004D59C4">
            <w:pPr>
              <w:spacing w:after="0" w:line="259" w:lineRule="auto"/>
              <w:ind w:left="1" w:firstLine="0"/>
            </w:pPr>
            <w:r>
              <w:rPr>
                <w:sz w:val="20"/>
              </w:rPr>
              <w:t xml:space="preserve">MODERATE </w:t>
            </w:r>
            <w:r>
              <w:rPr>
                <w:sz w:val="20"/>
              </w:rPr>
              <w:t>–</w:t>
            </w:r>
            <w:r>
              <w:rPr>
                <w:sz w:val="20"/>
              </w:rPr>
              <w:t xml:space="preserve"> fewer </w:t>
            </w:r>
          </w:p>
          <w:p w14:paraId="7F42BF0C" w14:textId="77777777" w:rsidR="000F6918" w:rsidRDefault="004D59C4">
            <w:pPr>
              <w:spacing w:after="0" w:line="259" w:lineRule="auto"/>
              <w:ind w:left="1" w:firstLine="0"/>
            </w:pPr>
            <w:r>
              <w:rPr>
                <w:sz w:val="20"/>
              </w:rPr>
              <w:t>dedicated trials</w:t>
            </w:r>
            <w:r>
              <w:t xml:space="preserve"> </w:t>
            </w:r>
          </w:p>
        </w:tc>
      </w:tr>
      <w:tr w:rsidR="000F6918" w14:paraId="31B37195" w14:textId="77777777">
        <w:trPr>
          <w:trHeight w:val="652"/>
        </w:trPr>
        <w:tc>
          <w:tcPr>
            <w:tcW w:w="2801" w:type="dxa"/>
            <w:tcBorders>
              <w:top w:val="single" w:sz="32" w:space="0" w:color="FFFFFF"/>
              <w:left w:val="single" w:sz="2" w:space="0" w:color="CCCCCC"/>
              <w:bottom w:val="single" w:sz="2" w:space="0" w:color="CCCCCC"/>
              <w:right w:val="single" w:sz="2" w:space="0" w:color="CCCCCC"/>
            </w:tcBorders>
          </w:tcPr>
          <w:p w14:paraId="56EA6567" w14:textId="77777777" w:rsidR="000F6918" w:rsidRDefault="004D59C4">
            <w:pPr>
              <w:spacing w:after="0" w:line="259" w:lineRule="auto"/>
              <w:ind w:left="0" w:firstLine="0"/>
            </w:pPr>
            <w:r>
              <w:rPr>
                <w:sz w:val="20"/>
              </w:rPr>
              <w:t>Finishing Pigs</w:t>
            </w:r>
            <w:r>
              <w:t xml:space="preserve"> </w:t>
            </w:r>
          </w:p>
        </w:tc>
        <w:tc>
          <w:tcPr>
            <w:tcW w:w="1999" w:type="dxa"/>
            <w:tcBorders>
              <w:top w:val="single" w:sz="32" w:space="0" w:color="FFFFFF"/>
              <w:left w:val="single" w:sz="2" w:space="0" w:color="CCCCCC"/>
              <w:bottom w:val="single" w:sz="2" w:space="0" w:color="CCCCCC"/>
              <w:right w:val="single" w:sz="2" w:space="0" w:color="CCCCCC"/>
            </w:tcBorders>
          </w:tcPr>
          <w:p w14:paraId="7940F42F" w14:textId="77777777" w:rsidR="000F6918" w:rsidRDefault="004D59C4">
            <w:pPr>
              <w:spacing w:after="0" w:line="259" w:lineRule="auto"/>
              <w:ind w:left="0" w:firstLine="0"/>
            </w:pPr>
            <w:r>
              <w:rPr>
                <w:sz w:val="20"/>
              </w:rPr>
              <w:t xml:space="preserve">60 </w:t>
            </w:r>
            <w:r>
              <w:rPr>
                <w:sz w:val="20"/>
              </w:rPr>
              <w:t>–</w:t>
            </w:r>
            <w:r>
              <w:rPr>
                <w:sz w:val="20"/>
              </w:rPr>
              <w:t xml:space="preserve"> market</w:t>
            </w:r>
            <w:r>
              <w:t xml:space="preserve"> </w:t>
            </w:r>
          </w:p>
        </w:tc>
        <w:tc>
          <w:tcPr>
            <w:tcW w:w="2001" w:type="dxa"/>
            <w:tcBorders>
              <w:top w:val="single" w:sz="32" w:space="0" w:color="FFFFFF"/>
              <w:left w:val="single" w:sz="2" w:space="0" w:color="CCCCCC"/>
              <w:bottom w:val="single" w:sz="2" w:space="0" w:color="CCCCCC"/>
              <w:right w:val="single" w:sz="2" w:space="0" w:color="CCCCCC"/>
            </w:tcBorders>
          </w:tcPr>
          <w:p w14:paraId="4BE4B220" w14:textId="77777777" w:rsidR="000F6918" w:rsidRDefault="004D59C4">
            <w:pPr>
              <w:spacing w:after="0" w:line="259" w:lineRule="auto"/>
              <w:ind w:left="0" w:firstLine="0"/>
            </w:pPr>
            <w:r>
              <w:rPr>
                <w:sz w:val="20"/>
              </w:rPr>
              <w:t xml:space="preserve">250 </w:t>
            </w:r>
            <w:r>
              <w:rPr>
                <w:sz w:val="20"/>
              </w:rPr>
              <w:t>–</w:t>
            </w:r>
            <w:r>
              <w:rPr>
                <w:sz w:val="20"/>
              </w:rPr>
              <w:t xml:space="preserve"> 500 mg/kg</w:t>
            </w:r>
            <w:r>
              <w:t xml:space="preserve"> </w:t>
            </w:r>
          </w:p>
        </w:tc>
        <w:tc>
          <w:tcPr>
            <w:tcW w:w="2559" w:type="dxa"/>
            <w:tcBorders>
              <w:top w:val="single" w:sz="32" w:space="0" w:color="FFFFFF"/>
              <w:left w:val="single" w:sz="2" w:space="0" w:color="CCCCCC"/>
              <w:bottom w:val="single" w:sz="2" w:space="0" w:color="CCCCCC"/>
              <w:right w:val="single" w:sz="2" w:space="0" w:color="CCCCCC"/>
            </w:tcBorders>
            <w:vAlign w:val="center"/>
          </w:tcPr>
          <w:p w14:paraId="1F9243A1" w14:textId="77777777" w:rsidR="000F6918" w:rsidRDefault="004D59C4">
            <w:pPr>
              <w:spacing w:after="0" w:line="259" w:lineRule="auto"/>
              <w:ind w:left="1" w:firstLine="0"/>
            </w:pPr>
            <w:r>
              <w:rPr>
                <w:sz w:val="20"/>
              </w:rPr>
              <w:t xml:space="preserve">SUPPLEMENTARY </w:t>
            </w:r>
            <w:r>
              <w:rPr>
                <w:sz w:val="20"/>
              </w:rPr>
              <w:t>–</w:t>
            </w:r>
            <w:r>
              <w:rPr>
                <w:sz w:val="20"/>
              </w:rPr>
              <w:t xml:space="preserve"> as </w:t>
            </w:r>
          </w:p>
          <w:p w14:paraId="49392E56" w14:textId="77777777" w:rsidR="000F6918" w:rsidRDefault="004D59C4">
            <w:pPr>
              <w:spacing w:after="0" w:line="259" w:lineRule="auto"/>
              <w:ind w:left="1" w:firstLine="0"/>
            </w:pPr>
            <w:r>
              <w:rPr>
                <w:sz w:val="20"/>
              </w:rPr>
              <w:t>antibiotic alternative</w:t>
            </w:r>
            <w:r>
              <w:t xml:space="preserve"> </w:t>
            </w:r>
          </w:p>
        </w:tc>
      </w:tr>
      <w:tr w:rsidR="000F6918" w14:paraId="0E49B152" w14:textId="77777777">
        <w:trPr>
          <w:trHeight w:val="562"/>
        </w:trPr>
        <w:tc>
          <w:tcPr>
            <w:tcW w:w="2801" w:type="dxa"/>
            <w:tcBorders>
              <w:top w:val="single" w:sz="2" w:space="0" w:color="CCCCCC"/>
              <w:left w:val="single" w:sz="2" w:space="0" w:color="CCCCCC"/>
              <w:bottom w:val="single" w:sz="2" w:space="0" w:color="CCCCCC"/>
              <w:right w:val="single" w:sz="2" w:space="0" w:color="CCCCCC"/>
            </w:tcBorders>
            <w:shd w:val="clear" w:color="auto" w:fill="EAF2FB"/>
          </w:tcPr>
          <w:p w14:paraId="4C1940E3" w14:textId="77777777" w:rsidR="000F6918" w:rsidRDefault="004D59C4">
            <w:pPr>
              <w:spacing w:after="0" w:line="259" w:lineRule="auto"/>
              <w:ind w:left="0" w:firstLine="0"/>
            </w:pPr>
            <w:r>
              <w:rPr>
                <w:sz w:val="20"/>
              </w:rPr>
              <w:t>Gestating/Lactating Sows</w:t>
            </w:r>
            <w:r>
              <w:t xml:space="preserve"> </w:t>
            </w:r>
          </w:p>
        </w:tc>
        <w:tc>
          <w:tcPr>
            <w:tcW w:w="1999" w:type="dxa"/>
            <w:tcBorders>
              <w:top w:val="single" w:sz="2" w:space="0" w:color="CCCCCC"/>
              <w:left w:val="single" w:sz="2" w:space="0" w:color="CCCCCC"/>
              <w:bottom w:val="single" w:sz="2" w:space="0" w:color="CCCCCC"/>
              <w:right w:val="single" w:sz="2" w:space="0" w:color="CCCCCC"/>
            </w:tcBorders>
            <w:shd w:val="clear" w:color="auto" w:fill="EAF2FB"/>
          </w:tcPr>
          <w:p w14:paraId="7FDB238C" w14:textId="77777777" w:rsidR="000F6918" w:rsidRDefault="004D59C4">
            <w:pPr>
              <w:spacing w:after="0" w:line="259" w:lineRule="auto"/>
              <w:ind w:left="0" w:firstLine="0"/>
            </w:pPr>
            <w:r>
              <w:rPr>
                <w:sz w:val="20"/>
              </w:rPr>
              <w:t>Variable</w:t>
            </w:r>
            <w:r>
              <w:t xml:space="preserve"> </w:t>
            </w:r>
          </w:p>
        </w:tc>
        <w:tc>
          <w:tcPr>
            <w:tcW w:w="2001" w:type="dxa"/>
            <w:tcBorders>
              <w:top w:val="single" w:sz="2" w:space="0" w:color="CCCCCC"/>
              <w:left w:val="single" w:sz="2" w:space="0" w:color="CCCCCC"/>
              <w:bottom w:val="single" w:sz="2" w:space="0" w:color="CCCCCC"/>
              <w:right w:val="single" w:sz="2" w:space="0" w:color="CCCCCC"/>
            </w:tcBorders>
            <w:shd w:val="clear" w:color="auto" w:fill="EAF2FB"/>
          </w:tcPr>
          <w:p w14:paraId="14EF9EF5" w14:textId="77777777" w:rsidR="000F6918" w:rsidRDefault="004D59C4">
            <w:pPr>
              <w:spacing w:after="0" w:line="259" w:lineRule="auto"/>
              <w:ind w:left="0" w:firstLine="0"/>
            </w:pPr>
            <w:r>
              <w:rPr>
                <w:sz w:val="20"/>
              </w:rPr>
              <w:t>Consult nutritionist</w:t>
            </w:r>
            <w:r>
              <w:t xml:space="preserve"> </w:t>
            </w:r>
          </w:p>
        </w:tc>
        <w:tc>
          <w:tcPr>
            <w:tcW w:w="2559" w:type="dxa"/>
            <w:tcBorders>
              <w:top w:val="single" w:sz="2" w:space="0" w:color="CCCCCC"/>
              <w:left w:val="single" w:sz="2" w:space="0" w:color="CCCCCC"/>
              <w:bottom w:val="single" w:sz="2" w:space="0" w:color="CCCCCC"/>
              <w:right w:val="single" w:sz="2" w:space="0" w:color="CCCCCC"/>
            </w:tcBorders>
            <w:shd w:val="clear" w:color="auto" w:fill="EAF2FB"/>
          </w:tcPr>
          <w:p w14:paraId="47B1E276" w14:textId="77777777" w:rsidR="000F6918" w:rsidRDefault="004D59C4">
            <w:pPr>
              <w:spacing w:after="0" w:line="259" w:lineRule="auto"/>
              <w:ind w:left="1" w:firstLine="0"/>
            </w:pPr>
            <w:r>
              <w:rPr>
                <w:sz w:val="20"/>
              </w:rPr>
              <w:t>LIMITED data; maternal benefits possible</w:t>
            </w:r>
            <w:r>
              <w:t xml:space="preserve"> </w:t>
            </w:r>
          </w:p>
        </w:tc>
      </w:tr>
    </w:tbl>
    <w:p w14:paraId="3C245235" w14:textId="77777777" w:rsidR="000F6918" w:rsidRDefault="004D59C4">
      <w:pPr>
        <w:spacing w:after="256" w:line="259" w:lineRule="auto"/>
        <w:ind w:left="0" w:firstLine="0"/>
      </w:pPr>
      <w:r>
        <w:t xml:space="preserve"> </w:t>
      </w:r>
    </w:p>
    <w:p w14:paraId="587296AA" w14:textId="77777777" w:rsidR="000F6918" w:rsidRDefault="004D59C4">
      <w:pPr>
        <w:pStyle w:val="Heading3"/>
        <w:ind w:left="-5"/>
      </w:pPr>
      <w:r>
        <w:t>8.2 Incorporation Methods</w:t>
      </w:r>
      <w:r>
        <w:rPr>
          <w:b w:val="0"/>
          <w:color w:val="2E74B5"/>
        </w:rPr>
        <w:t xml:space="preserve"> </w:t>
      </w:r>
    </w:p>
    <w:p w14:paraId="3F0AE8AD" w14:textId="77777777" w:rsidR="000F6918" w:rsidRDefault="004D59C4">
      <w:pPr>
        <w:numPr>
          <w:ilvl w:val="0"/>
          <w:numId w:val="6"/>
        </w:numPr>
        <w:ind w:hanging="360"/>
      </w:pPr>
      <w:r>
        <w:t>Pre-</w:t>
      </w:r>
      <w:r>
        <w:t>mix incorporation: Blend Chitosan 60 FG into a vitamin/mineral premix at 1</w:t>
      </w:r>
      <w:r>
        <w:t>–</w:t>
      </w:r>
      <w:r>
        <w:t>2% inclusion, then incorporate premix into complete feed at standard rates to achieve 560</w:t>
      </w:r>
      <w:r>
        <w:t>–</w:t>
      </w:r>
      <w:r>
        <w:t xml:space="preserve">565 mg/kg in final diet. </w:t>
      </w:r>
    </w:p>
    <w:p w14:paraId="208D046C" w14:textId="77777777" w:rsidR="000F6918" w:rsidRDefault="004D59C4">
      <w:pPr>
        <w:numPr>
          <w:ilvl w:val="0"/>
          <w:numId w:val="6"/>
        </w:numPr>
        <w:ind w:hanging="360"/>
      </w:pPr>
      <w:r>
        <w:t xml:space="preserve">Direct blending: Add directly to the diet at the mixer. Due to the water-soluble nature of the product (fully soluble at 1 g/100 mL), liquid application via top-dressing or liquid feed systems is also feasible. </w:t>
      </w:r>
    </w:p>
    <w:p w14:paraId="5CEF7953" w14:textId="77777777" w:rsidR="000F6918" w:rsidRDefault="004D59C4">
      <w:pPr>
        <w:numPr>
          <w:ilvl w:val="0"/>
          <w:numId w:val="6"/>
        </w:numPr>
        <w:ind w:hanging="360"/>
      </w:pPr>
      <w:r>
        <w:t xml:space="preserve">Pellet processing: Chitosan 60 FG is stable through standard pelleting conditions (up to 85°C). No special heat protection </w:t>
      </w:r>
      <w:proofErr w:type="gramStart"/>
      <w:r>
        <w:t>required</w:t>
      </w:r>
      <w:proofErr w:type="gramEnd"/>
      <w:r>
        <w:t xml:space="preserve">. </w:t>
      </w:r>
    </w:p>
    <w:p w14:paraId="6A0E5A0A" w14:textId="77777777" w:rsidR="000F6918" w:rsidRDefault="004D59C4">
      <w:pPr>
        <w:numPr>
          <w:ilvl w:val="0"/>
          <w:numId w:val="6"/>
        </w:numPr>
        <w:ind w:hanging="360"/>
      </w:pPr>
      <w:r>
        <w:t xml:space="preserve">Compatibility: Compatible with standard swine diet ingredients. No known antagonistic interactions with vitamins, minerals, enzymes, or organic acids at recommended levels. </w:t>
      </w:r>
    </w:p>
    <w:p w14:paraId="43A11942" w14:textId="77777777" w:rsidR="000F6918" w:rsidRDefault="004D59C4">
      <w:pPr>
        <w:spacing w:after="431" w:line="259" w:lineRule="auto"/>
        <w:ind w:left="0" w:firstLine="0"/>
      </w:pPr>
      <w:r>
        <w:t xml:space="preserve"> </w:t>
      </w:r>
    </w:p>
    <w:p w14:paraId="1652DAD6" w14:textId="77777777" w:rsidR="000F6918" w:rsidRDefault="004D59C4">
      <w:pPr>
        <w:pStyle w:val="Heading2"/>
        <w:ind w:left="-5" w:right="0"/>
      </w:pPr>
      <w:r>
        <w:lastRenderedPageBreak/>
        <w:t>9. Final Recommendation</w:t>
      </w:r>
      <w:r>
        <w:rPr>
          <w:b w:val="0"/>
          <w:color w:val="2E74B5"/>
        </w:rPr>
        <w:t xml:space="preserve"> </w:t>
      </w:r>
    </w:p>
    <w:p w14:paraId="03A1FFC4"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708C265A" wp14:editId="4BA82C40">
                <wp:extent cx="6209665" cy="9144"/>
                <wp:effectExtent l="0" t="0" r="0" b="0"/>
                <wp:docPr id="17814" name="Group 17814"/>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51" name="Shape 19151"/>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7814" style="width:488.95pt;height:0.720032pt;mso-position-horizontal-relative:char;mso-position-vertical-relative:line" coordsize="62096,91">
                <v:shape id="Shape 19152"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78DDA245" w14:textId="77777777" w:rsidR="000F6918" w:rsidRDefault="004D59C4">
      <w:pPr>
        <w:spacing w:after="0" w:line="259" w:lineRule="auto"/>
        <w:ind w:left="0" w:firstLine="0"/>
      </w:pPr>
      <w:r>
        <w:t xml:space="preserve"> </w:t>
      </w:r>
    </w:p>
    <w:tbl>
      <w:tblPr>
        <w:tblStyle w:val="TableGrid"/>
        <w:tblW w:w="9360" w:type="dxa"/>
        <w:tblInd w:w="0" w:type="dxa"/>
        <w:tblCellMar>
          <w:top w:w="136" w:type="dxa"/>
          <w:left w:w="115" w:type="dxa"/>
          <w:bottom w:w="0" w:type="dxa"/>
          <w:right w:w="115" w:type="dxa"/>
        </w:tblCellMar>
        <w:tblLook w:val="04A0" w:firstRow="1" w:lastRow="0" w:firstColumn="1" w:lastColumn="0" w:noHBand="0" w:noVBand="1"/>
      </w:tblPr>
      <w:tblGrid>
        <w:gridCol w:w="9360"/>
      </w:tblGrid>
      <w:tr w:rsidR="000F6918" w14:paraId="4C9E86E2" w14:textId="77777777">
        <w:trPr>
          <w:trHeight w:val="200"/>
        </w:trPr>
        <w:tc>
          <w:tcPr>
            <w:tcW w:w="9360" w:type="dxa"/>
            <w:tcBorders>
              <w:top w:val="single" w:sz="2" w:space="0" w:color="1A5276"/>
              <w:left w:val="single" w:sz="2" w:space="0" w:color="1A5276"/>
              <w:bottom w:val="nil"/>
              <w:right w:val="single" w:sz="2" w:space="0" w:color="1A5276"/>
            </w:tcBorders>
            <w:shd w:val="clear" w:color="auto" w:fill="D4EFDF"/>
          </w:tcPr>
          <w:p w14:paraId="69A72760" w14:textId="77777777" w:rsidR="000F6918" w:rsidRDefault="000F6918">
            <w:pPr>
              <w:spacing w:after="160" w:line="259" w:lineRule="auto"/>
              <w:ind w:left="0" w:firstLine="0"/>
            </w:pPr>
          </w:p>
        </w:tc>
      </w:tr>
      <w:tr w:rsidR="000F6918" w14:paraId="2922757A" w14:textId="77777777">
        <w:trPr>
          <w:trHeight w:val="1620"/>
        </w:trPr>
        <w:tc>
          <w:tcPr>
            <w:tcW w:w="9360" w:type="dxa"/>
            <w:tcBorders>
              <w:top w:val="nil"/>
              <w:left w:val="single" w:sz="2" w:space="0" w:color="1A5276"/>
              <w:bottom w:val="nil"/>
              <w:right w:val="single" w:sz="2" w:space="0" w:color="1A5276"/>
            </w:tcBorders>
            <w:shd w:val="clear" w:color="auto" w:fill="D4EFDF"/>
          </w:tcPr>
          <w:p w14:paraId="78A9735A" w14:textId="77777777" w:rsidR="000F6918" w:rsidRDefault="004D59C4">
            <w:pPr>
              <w:spacing w:after="149" w:line="259" w:lineRule="auto"/>
              <w:ind w:left="0" w:right="7" w:firstLine="0"/>
              <w:jc w:val="center"/>
            </w:pPr>
            <w:r>
              <w:rPr>
                <w:b/>
                <w:color w:val="1A5276"/>
                <w:sz w:val="26"/>
              </w:rPr>
              <w:t>CHITOSAN GLOBAL RECOMMENDED INCLUSION RATE</w:t>
            </w:r>
            <w:r>
              <w:t xml:space="preserve"> </w:t>
            </w:r>
          </w:p>
          <w:p w14:paraId="17BB2913" w14:textId="77777777" w:rsidR="000F6918" w:rsidRDefault="004D59C4">
            <w:pPr>
              <w:spacing w:after="0" w:line="243" w:lineRule="auto"/>
              <w:ind w:left="0" w:firstLine="0"/>
              <w:jc w:val="center"/>
            </w:pPr>
            <w:r>
              <w:rPr>
                <w:b/>
                <w:color w:val="1B6B3A"/>
                <w:sz w:val="36"/>
              </w:rPr>
              <w:t>560 – 565 mg Chitosan 60 FG per kg of complete swine diet</w:t>
            </w:r>
            <w:r>
              <w:t xml:space="preserve"> </w:t>
            </w:r>
          </w:p>
          <w:p w14:paraId="02238E9B" w14:textId="77777777" w:rsidR="000F6918" w:rsidRDefault="004D59C4">
            <w:pPr>
              <w:spacing w:after="0" w:line="259" w:lineRule="auto"/>
              <w:ind w:left="0" w:right="5" w:firstLine="0"/>
              <w:jc w:val="center"/>
            </w:pPr>
            <w:r>
              <w:rPr>
                <w:color w:val="333333"/>
              </w:rPr>
              <w:t xml:space="preserve">Equivalent to 0.056 </w:t>
            </w:r>
            <w:r>
              <w:rPr>
                <w:color w:val="333333"/>
              </w:rPr>
              <w:t>–</w:t>
            </w:r>
            <w:r>
              <w:rPr>
                <w:color w:val="333333"/>
              </w:rPr>
              <w:t xml:space="preserve"> 0.057% of complete diet (w/w)</w:t>
            </w:r>
            <w:r>
              <w:t xml:space="preserve"> </w:t>
            </w:r>
          </w:p>
        </w:tc>
      </w:tr>
      <w:tr w:rsidR="000F6918" w14:paraId="16A78094" w14:textId="77777777">
        <w:trPr>
          <w:trHeight w:val="200"/>
        </w:trPr>
        <w:tc>
          <w:tcPr>
            <w:tcW w:w="9360" w:type="dxa"/>
            <w:tcBorders>
              <w:top w:val="nil"/>
              <w:left w:val="single" w:sz="2" w:space="0" w:color="1A5276"/>
              <w:bottom w:val="single" w:sz="2" w:space="0" w:color="1A5276"/>
              <w:right w:val="single" w:sz="2" w:space="0" w:color="1A5276"/>
            </w:tcBorders>
            <w:shd w:val="clear" w:color="auto" w:fill="D4EFDF"/>
          </w:tcPr>
          <w:p w14:paraId="2A018066" w14:textId="77777777" w:rsidR="000F6918" w:rsidRDefault="000F6918">
            <w:pPr>
              <w:spacing w:after="160" w:line="259" w:lineRule="auto"/>
              <w:ind w:left="0" w:firstLine="0"/>
            </w:pPr>
          </w:p>
        </w:tc>
      </w:tr>
    </w:tbl>
    <w:p w14:paraId="32FC7818" w14:textId="77777777" w:rsidR="000F6918" w:rsidRDefault="004D59C4">
      <w:pPr>
        <w:spacing w:after="0" w:line="259" w:lineRule="auto"/>
        <w:ind w:left="0" w:firstLine="0"/>
      </w:pPr>
      <w:r>
        <w:t xml:space="preserve"> </w:t>
      </w:r>
    </w:p>
    <w:p w14:paraId="1A9811C1" w14:textId="77777777" w:rsidR="000F6918" w:rsidRDefault="004D59C4">
      <w:r>
        <w:t xml:space="preserve">This recommendation is based on the following evidence and product attributes: </w:t>
      </w:r>
    </w:p>
    <w:p w14:paraId="56EDD534" w14:textId="77777777" w:rsidR="000F6918" w:rsidRDefault="004D59C4">
      <w:pPr>
        <w:numPr>
          <w:ilvl w:val="0"/>
          <w:numId w:val="7"/>
        </w:numPr>
        <w:ind w:hanging="360"/>
      </w:pPr>
      <w:r>
        <w:t>Xu et al. (2013) broken-line analysis identified ~545 mg/kg as the threshold for maximum body weight gain in weaned pigs; 560</w:t>
      </w:r>
      <w:r>
        <w:t>–</w:t>
      </w:r>
      <w:r>
        <w:t xml:space="preserve">565 mg/kg positions the inclusion level above this threshold. </w:t>
      </w:r>
    </w:p>
    <w:p w14:paraId="7D191FA7" w14:textId="77777777" w:rsidR="000F6918" w:rsidRDefault="004D59C4">
      <w:pPr>
        <w:numPr>
          <w:ilvl w:val="0"/>
          <w:numId w:val="7"/>
        </w:numPr>
        <w:ind w:hanging="360"/>
      </w:pPr>
      <w:r>
        <w:t xml:space="preserve">Chitosan 60 FG purity of 99.13% ensures consistent delivery of active chitosan oligosaccharide per gram of product. </w:t>
      </w:r>
    </w:p>
    <w:p w14:paraId="47E03BDC" w14:textId="77777777" w:rsidR="000F6918" w:rsidRDefault="004D59C4">
      <w:pPr>
        <w:numPr>
          <w:ilvl w:val="0"/>
          <w:numId w:val="7"/>
        </w:numPr>
        <w:ind w:hanging="360"/>
      </w:pPr>
      <w:r>
        <w:t xml:space="preserve">High degree of deacetylation (98.67%) maximizes the positive charge density of chitosan, enhancing antimicrobial efficacy and mucosal adhesion. </w:t>
      </w:r>
    </w:p>
    <w:p w14:paraId="006539DF" w14:textId="77777777" w:rsidR="000F6918" w:rsidRDefault="004D59C4">
      <w:pPr>
        <w:numPr>
          <w:ilvl w:val="0"/>
          <w:numId w:val="7"/>
        </w:numPr>
        <w:ind w:hanging="360"/>
      </w:pPr>
      <w:r>
        <w:t xml:space="preserve">The water-soluble formulation (Zeta potential +59.77 mV; viscosity 6.59 </w:t>
      </w:r>
      <w:proofErr w:type="spellStart"/>
      <w:r>
        <w:t>cSt</w:t>
      </w:r>
      <w:proofErr w:type="spellEnd"/>
      <w:r>
        <w:t xml:space="preserve">) ensures uniform distribution in feed and optimal bioavailability in the gastrointestinal tract. </w:t>
      </w:r>
    </w:p>
    <w:p w14:paraId="4669D669" w14:textId="77777777" w:rsidR="000F6918" w:rsidRDefault="004D59C4">
      <w:pPr>
        <w:numPr>
          <w:ilvl w:val="0"/>
          <w:numId w:val="7"/>
        </w:numPr>
        <w:ind w:hanging="360"/>
      </w:pPr>
      <w:r>
        <w:t xml:space="preserve">The recommendation provides a comfortable safety margin, being approximately 8.8× below the established upper tolerance level of 5,000 mg/kg. </w:t>
      </w:r>
    </w:p>
    <w:p w14:paraId="65534F0A" w14:textId="77777777" w:rsidR="000F6918" w:rsidRDefault="004D59C4">
      <w:pPr>
        <w:spacing w:after="38" w:line="259" w:lineRule="auto"/>
        <w:ind w:left="0" w:firstLine="0"/>
      </w:pPr>
      <w:r>
        <w:t xml:space="preserve"> </w:t>
      </w:r>
    </w:p>
    <w:p w14:paraId="480C1324" w14:textId="77777777" w:rsidR="000F6918" w:rsidRDefault="004D59C4">
      <w:pPr>
        <w:spacing w:after="80" w:line="240" w:lineRule="auto"/>
        <w:ind w:left="0" w:firstLine="0"/>
      </w:pPr>
      <w:r>
        <w:rPr>
          <w:i/>
          <w:color w:val="666666"/>
        </w:rPr>
        <w:t>Practitioners are advised to consult with a qualified swine nutritionist or veterinarian before implementing supplementation programs. Regulatory status of chitosan as a feed additive varies by country and region; users should confirm compliance with applicable national regulations.</w:t>
      </w:r>
      <w:r>
        <w:t xml:space="preserve"> </w:t>
      </w:r>
    </w:p>
    <w:p w14:paraId="1247241F" w14:textId="77777777" w:rsidR="000F6918" w:rsidRDefault="004D59C4">
      <w:pPr>
        <w:spacing w:after="431" w:line="259" w:lineRule="auto"/>
        <w:ind w:left="0" w:firstLine="0"/>
      </w:pPr>
      <w:r>
        <w:t xml:space="preserve"> </w:t>
      </w:r>
    </w:p>
    <w:p w14:paraId="4E417D25" w14:textId="77777777" w:rsidR="000F6918" w:rsidRDefault="004D59C4">
      <w:pPr>
        <w:pStyle w:val="Heading2"/>
        <w:ind w:left="-5" w:right="0"/>
      </w:pPr>
      <w:r>
        <w:t>10. References</w:t>
      </w:r>
      <w:r>
        <w:rPr>
          <w:b w:val="0"/>
          <w:color w:val="2E74B5"/>
        </w:rPr>
        <w:t xml:space="preserve"> </w:t>
      </w:r>
    </w:p>
    <w:p w14:paraId="416AE403" w14:textId="77777777" w:rsidR="000F6918" w:rsidRDefault="004D59C4">
      <w:pPr>
        <w:spacing w:after="168" w:line="259" w:lineRule="auto"/>
        <w:ind w:left="-29" w:right="-27" w:firstLine="0"/>
      </w:pPr>
      <w:r>
        <w:rPr>
          <w:rFonts w:ascii="Calibri" w:eastAsia="Calibri" w:hAnsi="Calibri" w:cs="Calibri"/>
          <w:noProof/>
        </w:rPr>
        <mc:AlternateContent>
          <mc:Choice Requires="wpg">
            <w:drawing>
              <wp:inline distT="0" distB="0" distL="0" distR="0" wp14:anchorId="0DB68046" wp14:editId="2D63BBEC">
                <wp:extent cx="6209665" cy="9144"/>
                <wp:effectExtent l="0" t="0" r="0" b="0"/>
                <wp:docPr id="15026" name="Group 15026"/>
                <wp:cNvGraphicFramePr/>
                <a:graphic xmlns:a="http://schemas.openxmlformats.org/drawingml/2006/main">
                  <a:graphicData uri="http://schemas.microsoft.com/office/word/2010/wordprocessingGroup">
                    <wpg:wgp>
                      <wpg:cNvGrpSpPr/>
                      <wpg:grpSpPr>
                        <a:xfrm>
                          <a:off x="0" y="0"/>
                          <a:ext cx="6209665" cy="9144"/>
                          <a:chOff x="0" y="0"/>
                          <a:chExt cx="6209665" cy="9144"/>
                        </a:xfrm>
                      </wpg:grpSpPr>
                      <wps:wsp>
                        <wps:cNvPr id="19153" name="Shape 19153"/>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inline>
            </w:drawing>
          </mc:Choice>
          <mc:Fallback xmlns:a="http://schemas.openxmlformats.org/drawingml/2006/main">
            <w:pict>
              <v:group id="Group 15026" style="width:488.95pt;height:0.720001pt;mso-position-horizontal-relative:char;mso-position-vertical-relative:line" coordsize="62096,91">
                <v:shape id="Shape 19154" style="position:absolute;width:62096;height:91;left:0;top:0;" coordsize="6209665,9144" path="m0,0l6209665,0l6209665,9144l0,9144l0,0">
                  <v:stroke weight="0pt" endcap="flat" joinstyle="miter" miterlimit="10" on="false" color="#000000" opacity="0"/>
                  <v:fill on="true" color="#1a5276"/>
                </v:shape>
              </v:group>
            </w:pict>
          </mc:Fallback>
        </mc:AlternateContent>
      </w:r>
    </w:p>
    <w:p w14:paraId="3CBA0C53" w14:textId="77777777" w:rsidR="000F6918" w:rsidRDefault="004D59C4">
      <w:r>
        <w:t>Hu, Y. et al. (2018). Effects of low-molecular-</w:t>
      </w:r>
      <w:r>
        <w:t xml:space="preserve">weight chitosan supplementation on growth performance of weaned piglets. Animal Feed Science and Technology. </w:t>
      </w:r>
    </w:p>
    <w:p w14:paraId="48779FB2" w14:textId="77777777" w:rsidR="000F6918" w:rsidRDefault="004D59C4">
      <w:r>
        <w:t>Liu, P. et al. (2008). Chito-oligosaccharides at 100</w:t>
      </w:r>
      <w:r>
        <w:t>–</w:t>
      </w:r>
      <w:r>
        <w:t xml:space="preserve">400 mg/kg: growth performance and gut microbiota in post-weaned pigs. Livestock Science. </w:t>
      </w:r>
    </w:p>
    <w:p w14:paraId="30365DCF" w14:textId="77777777" w:rsidR="000F6918" w:rsidRDefault="004D59C4">
      <w:r>
        <w:t xml:space="preserve">Promecens Entosystems Pvt. Ltd. (2026). Certificate of Analysis </w:t>
      </w:r>
      <w:r>
        <w:t>–</w:t>
      </w:r>
      <w:r>
        <w:t xml:space="preserve"> Chitosan 60 FG (Batch PRM/CHT-60FG/01/01-2026). Sonipat, India. </w:t>
      </w:r>
    </w:p>
    <w:p w14:paraId="30B9A87D" w14:textId="77777777" w:rsidR="000F6918" w:rsidRDefault="004D59C4">
      <w:r>
        <w:t xml:space="preserve">Promecens Entosystems Pvt. Ltd. (2024). Material Safety Data Sheet </w:t>
      </w:r>
      <w:r>
        <w:t>–</w:t>
      </w:r>
      <w:r>
        <w:t xml:space="preserve"> Water-</w:t>
      </w:r>
      <w:r>
        <w:t xml:space="preserve">Soluble Chitosan Lactate (CAS 148411-57-8). Prepared </w:t>
      </w:r>
      <w:proofErr w:type="gramStart"/>
      <w:r>
        <w:t>per</w:t>
      </w:r>
      <w:proofErr w:type="gramEnd"/>
      <w:r>
        <w:t xml:space="preserve"> REACH EC No. 1907/2006. </w:t>
      </w:r>
    </w:p>
    <w:p w14:paraId="5D819887" w14:textId="77777777" w:rsidR="000F6918" w:rsidRDefault="004D59C4">
      <w:r>
        <w:lastRenderedPageBreak/>
        <w:t>Swiatkiewicz, S. et al. (2015). Chitosan and its oligosaccharide derivatives (chito-oligosaccharides</w:t>
      </w:r>
      <w:proofErr w:type="gramStart"/>
      <w:r>
        <w:t>) as</w:t>
      </w:r>
      <w:proofErr w:type="gramEnd"/>
      <w:r>
        <w:t xml:space="preserve"> feed supplements in poultry and swine nutrition. Journal of Animal Physiology and Animal Nutrition. </w:t>
      </w:r>
    </w:p>
    <w:p w14:paraId="4FC55A12" w14:textId="77777777" w:rsidR="000F6918" w:rsidRDefault="004D59C4">
      <w:r>
        <w:t xml:space="preserve">Xiao, X. et al. (2014). Chito-oligosaccharides at 300 mg/kg alleviate intestinal inflammation and enhance immunity in weaned pigs. Journal of Nutritional Science. </w:t>
      </w:r>
    </w:p>
    <w:p w14:paraId="611D3503" w14:textId="77777777" w:rsidR="000F6918" w:rsidRDefault="004D59C4">
      <w:r>
        <w:t xml:space="preserve">Xu, Y. et al. (2013). Dose-response and optimal level of chitosan in swine diets: body weight gain, intestinal morphology, and growth hormone. Animal Feed Science and Technology. </w:t>
      </w:r>
    </w:p>
    <w:p w14:paraId="38879114" w14:textId="77777777" w:rsidR="000F6918" w:rsidRDefault="004D59C4">
      <w:r>
        <w:t xml:space="preserve">Yang, W. et al. (2012). Chito-oligosaccharides vs. colistin in weaning pigs: growth and cecal microbiota. Animal Science Journal. </w:t>
      </w:r>
    </w:p>
    <w:p w14:paraId="43D56FB4" w14:textId="77777777" w:rsidR="000F6918" w:rsidRDefault="004D59C4">
      <w:r>
        <w:t>Zhou, T.X. et al. (2012). Effects of chitosan at 1</w:t>
      </w:r>
      <w:r>
        <w:t>–</w:t>
      </w:r>
      <w:r>
        <w:t xml:space="preserve">2 g/kg on growth performance, nutrient digestibility, and diarrhea in weaned pigs. Livestock Science. </w:t>
      </w:r>
    </w:p>
    <w:sectPr w:rsidR="000F6918">
      <w:headerReference w:type="even" r:id="rId11"/>
      <w:headerReference w:type="default" r:id="rId12"/>
      <w:footerReference w:type="even" r:id="rId13"/>
      <w:footerReference w:type="default" r:id="rId14"/>
      <w:headerReference w:type="first" r:id="rId15"/>
      <w:footerReference w:type="first" r:id="rId16"/>
      <w:pgSz w:w="12240" w:h="15840"/>
      <w:pgMar w:top="1080" w:right="1257" w:bottom="1243" w:left="1260" w:header="715"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D8E3" w14:textId="77777777" w:rsidR="004D59C4" w:rsidRDefault="004D59C4">
      <w:pPr>
        <w:spacing w:after="0" w:line="240" w:lineRule="auto"/>
      </w:pPr>
      <w:r>
        <w:separator/>
      </w:r>
    </w:p>
  </w:endnote>
  <w:endnote w:type="continuationSeparator" w:id="0">
    <w:p w14:paraId="189B61A3" w14:textId="77777777" w:rsidR="004D59C4" w:rsidRDefault="004D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35E8" w14:textId="77777777" w:rsidR="000F6918" w:rsidRDefault="004D59C4">
    <w:pPr>
      <w:tabs>
        <w:tab w:val="center" w:pos="8902"/>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B956C53" wp14:editId="4E695D01">
              <wp:simplePos x="0" y="0"/>
              <wp:positionH relativeFrom="page">
                <wp:posOffset>782117</wp:posOffset>
              </wp:positionH>
              <wp:positionV relativeFrom="page">
                <wp:posOffset>9460688</wp:posOffset>
              </wp:positionV>
              <wp:extent cx="6209665" cy="6096"/>
              <wp:effectExtent l="0" t="0" r="0" b="0"/>
              <wp:wrapSquare wrapText="bothSides"/>
              <wp:docPr id="18491" name="Group 18491"/>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65" name="Shape 19165"/>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91" style="width:488.95pt;height:0.47998pt;position:absolute;mso-position-horizontal-relative:page;mso-position-horizontal:absolute;margin-left:61.584pt;mso-position-vertical-relative:page;margin-top:744.936pt;" coordsize="62096,60">
              <v:shape id="Shape 19166"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color w:val="555555"/>
        <w:sz w:val="18"/>
      </w:rPr>
      <w:t xml:space="preserve">Confidential </w:t>
    </w:r>
    <w:r>
      <w:rPr>
        <w:color w:val="555555"/>
        <w:sz w:val="18"/>
      </w:rPr>
      <w:t>–</w:t>
    </w:r>
    <w:r>
      <w:rPr>
        <w:color w:val="555555"/>
        <w:sz w:val="18"/>
      </w:rPr>
      <w:t xml:space="preserve"> For Internal Use Only </w:t>
    </w:r>
    <w:r>
      <w:rPr>
        <w:color w:val="555555"/>
        <w:sz w:val="18"/>
      </w:rPr>
      <w:tab/>
      <w:t xml:space="preserve">Page </w:t>
    </w:r>
    <w:r>
      <w:fldChar w:fldCharType="begin"/>
    </w:r>
    <w:r>
      <w:instrText xml:space="preserve"> PAGE   \* MERGEFORMAT </w:instrText>
    </w:r>
    <w:r>
      <w:fldChar w:fldCharType="separate"/>
    </w:r>
    <w:r>
      <w:rPr>
        <w:color w:val="555555"/>
        <w:sz w:val="18"/>
      </w:rPr>
      <w:t>1</w:t>
    </w:r>
    <w:r>
      <w:rPr>
        <w:color w:val="555555"/>
        <w:sz w:val="18"/>
      </w:rPr>
      <w:fldChar w:fldCharType="end"/>
    </w:r>
    <w:r>
      <w:rPr>
        <w:color w:val="555555"/>
        <w:sz w:val="18"/>
      </w:rPr>
      <w:t xml:space="preserve"> of </w:t>
    </w:r>
    <w:r>
      <w:fldChar w:fldCharType="begin"/>
    </w:r>
    <w:r>
      <w:instrText xml:space="preserve"> NUMPAGES   \* MERGEFORMAT </w:instrText>
    </w:r>
    <w:r>
      <w:fldChar w:fldCharType="separate"/>
    </w:r>
    <w:r>
      <w:rPr>
        <w:color w:val="555555"/>
        <w:sz w:val="18"/>
      </w:rPr>
      <w:t>9</w:t>
    </w:r>
    <w:r>
      <w:rPr>
        <w:color w:val="555555"/>
        <w:sz w:val="18"/>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E5E3" w14:textId="77777777" w:rsidR="000F6918" w:rsidRDefault="004D59C4">
    <w:pPr>
      <w:tabs>
        <w:tab w:val="center" w:pos="8902"/>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B21D9B0" wp14:editId="1CA9051D">
              <wp:simplePos x="0" y="0"/>
              <wp:positionH relativeFrom="page">
                <wp:posOffset>782117</wp:posOffset>
              </wp:positionH>
              <wp:positionV relativeFrom="page">
                <wp:posOffset>9460688</wp:posOffset>
              </wp:positionV>
              <wp:extent cx="6209665" cy="6096"/>
              <wp:effectExtent l="0" t="0" r="0" b="0"/>
              <wp:wrapSquare wrapText="bothSides"/>
              <wp:docPr id="18463" name="Group 18463"/>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63" name="Shape 19163"/>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63" style="width:488.95pt;height:0.47998pt;position:absolute;mso-position-horizontal-relative:page;mso-position-horizontal:absolute;margin-left:61.584pt;mso-position-vertical-relative:page;margin-top:744.936pt;" coordsize="62096,60">
              <v:shape id="Shape 19164"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color w:val="555555"/>
        <w:sz w:val="18"/>
      </w:rPr>
      <w:t xml:space="preserve">Confidential </w:t>
    </w:r>
    <w:r>
      <w:rPr>
        <w:color w:val="555555"/>
        <w:sz w:val="18"/>
      </w:rPr>
      <w:t>–</w:t>
    </w:r>
    <w:r>
      <w:rPr>
        <w:color w:val="555555"/>
        <w:sz w:val="18"/>
      </w:rPr>
      <w:t xml:space="preserve"> For Internal Use Only </w:t>
    </w:r>
    <w:r>
      <w:rPr>
        <w:color w:val="555555"/>
        <w:sz w:val="18"/>
      </w:rPr>
      <w:tab/>
      <w:t xml:space="preserve">Page </w:t>
    </w:r>
    <w:r>
      <w:fldChar w:fldCharType="begin"/>
    </w:r>
    <w:r>
      <w:instrText xml:space="preserve"> PAGE   \* MERGEFORMAT </w:instrText>
    </w:r>
    <w:r>
      <w:fldChar w:fldCharType="separate"/>
    </w:r>
    <w:r>
      <w:rPr>
        <w:color w:val="555555"/>
        <w:sz w:val="18"/>
      </w:rPr>
      <w:t>1</w:t>
    </w:r>
    <w:r>
      <w:rPr>
        <w:color w:val="555555"/>
        <w:sz w:val="18"/>
      </w:rPr>
      <w:fldChar w:fldCharType="end"/>
    </w:r>
    <w:r>
      <w:rPr>
        <w:color w:val="555555"/>
        <w:sz w:val="18"/>
      </w:rPr>
      <w:t xml:space="preserve"> of </w:t>
    </w:r>
    <w:r>
      <w:fldChar w:fldCharType="begin"/>
    </w:r>
    <w:r>
      <w:instrText xml:space="preserve"> NUMPAGES   \* MERGEFORMAT </w:instrText>
    </w:r>
    <w:r>
      <w:fldChar w:fldCharType="separate"/>
    </w:r>
    <w:r>
      <w:rPr>
        <w:color w:val="555555"/>
        <w:sz w:val="18"/>
      </w:rPr>
      <w:t>9</w:t>
    </w:r>
    <w:r>
      <w:rPr>
        <w:color w:val="555555"/>
        <w:sz w:val="18"/>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8859" w14:textId="77777777" w:rsidR="000F6918" w:rsidRDefault="004D59C4">
    <w:pPr>
      <w:tabs>
        <w:tab w:val="center" w:pos="8902"/>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1969354" wp14:editId="189EE9A4">
              <wp:simplePos x="0" y="0"/>
              <wp:positionH relativeFrom="page">
                <wp:posOffset>782117</wp:posOffset>
              </wp:positionH>
              <wp:positionV relativeFrom="page">
                <wp:posOffset>9460688</wp:posOffset>
              </wp:positionV>
              <wp:extent cx="6209665" cy="6096"/>
              <wp:effectExtent l="0" t="0" r="0" b="0"/>
              <wp:wrapSquare wrapText="bothSides"/>
              <wp:docPr id="18435" name="Group 18435"/>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61" name="Shape 19161"/>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35" style="width:488.95pt;height:0.47998pt;position:absolute;mso-position-horizontal-relative:page;mso-position-horizontal:absolute;margin-left:61.584pt;mso-position-vertical-relative:page;margin-top:744.936pt;" coordsize="62096,60">
              <v:shape id="Shape 19162"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color w:val="555555"/>
        <w:sz w:val="18"/>
      </w:rPr>
      <w:t xml:space="preserve">Confidential </w:t>
    </w:r>
    <w:r>
      <w:rPr>
        <w:color w:val="555555"/>
        <w:sz w:val="18"/>
      </w:rPr>
      <w:t>–</w:t>
    </w:r>
    <w:r>
      <w:rPr>
        <w:color w:val="555555"/>
        <w:sz w:val="18"/>
      </w:rPr>
      <w:t xml:space="preserve"> For Internal Use Only </w:t>
    </w:r>
    <w:r>
      <w:rPr>
        <w:color w:val="555555"/>
        <w:sz w:val="18"/>
      </w:rPr>
      <w:tab/>
      <w:t xml:space="preserve">Page </w:t>
    </w:r>
    <w:r>
      <w:fldChar w:fldCharType="begin"/>
    </w:r>
    <w:r>
      <w:instrText xml:space="preserve"> PAGE   \* MERGEFORMAT </w:instrText>
    </w:r>
    <w:r>
      <w:fldChar w:fldCharType="separate"/>
    </w:r>
    <w:r>
      <w:rPr>
        <w:color w:val="555555"/>
        <w:sz w:val="18"/>
      </w:rPr>
      <w:t>1</w:t>
    </w:r>
    <w:r>
      <w:rPr>
        <w:color w:val="555555"/>
        <w:sz w:val="18"/>
      </w:rPr>
      <w:fldChar w:fldCharType="end"/>
    </w:r>
    <w:r>
      <w:rPr>
        <w:color w:val="555555"/>
        <w:sz w:val="18"/>
      </w:rPr>
      <w:t xml:space="preserve"> of </w:t>
    </w:r>
    <w:r>
      <w:fldChar w:fldCharType="begin"/>
    </w:r>
    <w:r>
      <w:instrText xml:space="preserve"> NUMPAGES   \* MERGEFORMAT </w:instrText>
    </w:r>
    <w:r>
      <w:fldChar w:fldCharType="separate"/>
    </w:r>
    <w:r>
      <w:rPr>
        <w:color w:val="555555"/>
        <w:sz w:val="18"/>
      </w:rPr>
      <w:t>9</w:t>
    </w:r>
    <w:r>
      <w:rPr>
        <w:color w:val="555555"/>
        <w:sz w:val="18"/>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8DAC" w14:textId="77777777" w:rsidR="004D59C4" w:rsidRDefault="004D59C4">
      <w:pPr>
        <w:spacing w:after="0" w:line="240" w:lineRule="auto"/>
      </w:pPr>
      <w:r>
        <w:separator/>
      </w:r>
    </w:p>
  </w:footnote>
  <w:footnote w:type="continuationSeparator" w:id="0">
    <w:p w14:paraId="462DABEC" w14:textId="77777777" w:rsidR="004D59C4" w:rsidRDefault="004D5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2DE4" w14:textId="77777777" w:rsidR="000F6918" w:rsidRDefault="004D59C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CFEF338" wp14:editId="1BC58AA8">
              <wp:simplePos x="0" y="0"/>
              <wp:positionH relativeFrom="page">
                <wp:posOffset>782117</wp:posOffset>
              </wp:positionH>
              <wp:positionV relativeFrom="page">
                <wp:posOffset>592836</wp:posOffset>
              </wp:positionV>
              <wp:extent cx="6209665" cy="6096"/>
              <wp:effectExtent l="0" t="0" r="0" b="0"/>
              <wp:wrapSquare wrapText="bothSides"/>
              <wp:docPr id="18472" name="Group 18472"/>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59" name="Shape 19159"/>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72" style="width:488.95pt;height:0.47998pt;position:absolute;mso-position-horizontal-relative:page;mso-position-horizontal:absolute;margin-left:61.584pt;mso-position-vertical-relative:page;margin-top:46.68pt;" coordsize="62096,60">
              <v:shape id="Shape 19160"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b/>
        <w:color w:val="1A5276"/>
        <w:sz w:val="18"/>
      </w:rPr>
      <w:t xml:space="preserve">CHITOSAN </w:t>
    </w:r>
    <w:proofErr w:type="gramStart"/>
    <w:r>
      <w:rPr>
        <w:b/>
        <w:color w:val="1A5276"/>
        <w:sz w:val="18"/>
      </w:rPr>
      <w:t>GLOBAL  |</w:t>
    </w:r>
    <w:proofErr w:type="gramEnd"/>
    <w:r>
      <w:rPr>
        <w:b/>
        <w:color w:val="1A5276"/>
        <w:sz w:val="18"/>
      </w:rPr>
      <w:t xml:space="preserve">  Technical Report: Chitosan Inclusion in Swine Diets</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668D" w14:textId="77777777" w:rsidR="000F6918" w:rsidRDefault="004D59C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465044F" wp14:editId="326303CC">
              <wp:simplePos x="0" y="0"/>
              <wp:positionH relativeFrom="page">
                <wp:posOffset>782117</wp:posOffset>
              </wp:positionH>
              <wp:positionV relativeFrom="page">
                <wp:posOffset>592836</wp:posOffset>
              </wp:positionV>
              <wp:extent cx="6209665" cy="6096"/>
              <wp:effectExtent l="0" t="0" r="0" b="0"/>
              <wp:wrapSquare wrapText="bothSides"/>
              <wp:docPr id="18444" name="Group 18444"/>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57" name="Shape 19157"/>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44" style="width:488.95pt;height:0.47998pt;position:absolute;mso-position-horizontal-relative:page;mso-position-horizontal:absolute;margin-left:61.584pt;mso-position-vertical-relative:page;margin-top:46.68pt;" coordsize="62096,60">
              <v:shape id="Shape 19158"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b/>
        <w:color w:val="1A5276"/>
        <w:sz w:val="18"/>
      </w:rPr>
      <w:t xml:space="preserve">CHITOSAN </w:t>
    </w:r>
    <w:proofErr w:type="gramStart"/>
    <w:r>
      <w:rPr>
        <w:b/>
        <w:color w:val="1A5276"/>
        <w:sz w:val="18"/>
      </w:rPr>
      <w:t>GLOBAL  |</w:t>
    </w:r>
    <w:proofErr w:type="gramEnd"/>
    <w:r>
      <w:rPr>
        <w:b/>
        <w:color w:val="1A5276"/>
        <w:sz w:val="18"/>
      </w:rPr>
      <w:t xml:space="preserve">  Technical Report: Chitosan Inclusion in Swine Diets</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EAAA" w14:textId="77777777" w:rsidR="000F6918" w:rsidRDefault="004D59C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B35EAA7" wp14:editId="7E77B639">
              <wp:simplePos x="0" y="0"/>
              <wp:positionH relativeFrom="page">
                <wp:posOffset>782117</wp:posOffset>
              </wp:positionH>
              <wp:positionV relativeFrom="page">
                <wp:posOffset>592836</wp:posOffset>
              </wp:positionV>
              <wp:extent cx="6209665" cy="6096"/>
              <wp:effectExtent l="0" t="0" r="0" b="0"/>
              <wp:wrapSquare wrapText="bothSides"/>
              <wp:docPr id="18416" name="Group 18416"/>
              <wp:cNvGraphicFramePr/>
              <a:graphic xmlns:a="http://schemas.openxmlformats.org/drawingml/2006/main">
                <a:graphicData uri="http://schemas.microsoft.com/office/word/2010/wordprocessingGroup">
                  <wpg:wgp>
                    <wpg:cNvGrpSpPr/>
                    <wpg:grpSpPr>
                      <a:xfrm>
                        <a:off x="0" y="0"/>
                        <a:ext cx="6209665" cy="6096"/>
                        <a:chOff x="0" y="0"/>
                        <a:chExt cx="6209665" cy="6096"/>
                      </a:xfrm>
                    </wpg:grpSpPr>
                    <wps:wsp>
                      <wps:cNvPr id="19155" name="Shape 19155"/>
                      <wps:cNvSpPr/>
                      <wps:spPr>
                        <a:xfrm>
                          <a:off x="0" y="0"/>
                          <a:ext cx="6209665" cy="9144"/>
                        </a:xfrm>
                        <a:custGeom>
                          <a:avLst/>
                          <a:gdLst/>
                          <a:ahLst/>
                          <a:cxnLst/>
                          <a:rect l="0" t="0" r="0" b="0"/>
                          <a:pathLst>
                            <a:path w="6209665" h="9144">
                              <a:moveTo>
                                <a:pt x="0" y="0"/>
                              </a:moveTo>
                              <a:lnTo>
                                <a:pt x="6209665" y="0"/>
                              </a:lnTo>
                              <a:lnTo>
                                <a:pt x="6209665" y="9144"/>
                              </a:lnTo>
                              <a:lnTo>
                                <a:pt x="0" y="9144"/>
                              </a:lnTo>
                              <a:lnTo>
                                <a:pt x="0" y="0"/>
                              </a:lnTo>
                            </a:path>
                          </a:pathLst>
                        </a:custGeom>
                        <a:ln w="0" cap="flat">
                          <a:miter lim="127000"/>
                        </a:ln>
                      </wps:spPr>
                      <wps:style>
                        <a:lnRef idx="0">
                          <a:srgbClr val="000000">
                            <a:alpha val="0"/>
                          </a:srgbClr>
                        </a:lnRef>
                        <a:fillRef idx="1">
                          <a:srgbClr val="1A5276"/>
                        </a:fillRef>
                        <a:effectRef idx="0">
                          <a:scrgbClr r="0" g="0" b="0"/>
                        </a:effectRef>
                        <a:fontRef idx="none"/>
                      </wps:style>
                      <wps:bodyPr/>
                    </wps:wsp>
                  </wpg:wgp>
                </a:graphicData>
              </a:graphic>
            </wp:anchor>
          </w:drawing>
        </mc:Choice>
        <mc:Fallback xmlns:a="http://schemas.openxmlformats.org/drawingml/2006/main">
          <w:pict>
            <v:group id="Group 18416" style="width:488.95pt;height:0.47998pt;position:absolute;mso-position-horizontal-relative:page;mso-position-horizontal:absolute;margin-left:61.584pt;mso-position-vertical-relative:page;margin-top:46.68pt;" coordsize="62096,60">
              <v:shape id="Shape 19156" style="position:absolute;width:62096;height:91;left:0;top:0;" coordsize="6209665,9144" path="m0,0l6209665,0l6209665,9144l0,9144l0,0">
                <v:stroke weight="0pt" endcap="flat" joinstyle="miter" miterlimit="10" on="false" color="#000000" opacity="0"/>
                <v:fill on="true" color="#1a5276"/>
              </v:shape>
              <w10:wrap type="square"/>
            </v:group>
          </w:pict>
        </mc:Fallback>
      </mc:AlternateContent>
    </w:r>
    <w:r>
      <w:rPr>
        <w:b/>
        <w:color w:val="1A5276"/>
        <w:sz w:val="18"/>
      </w:rPr>
      <w:t xml:space="preserve">CHITOSAN </w:t>
    </w:r>
    <w:proofErr w:type="gramStart"/>
    <w:r>
      <w:rPr>
        <w:b/>
        <w:color w:val="1A5276"/>
        <w:sz w:val="18"/>
      </w:rPr>
      <w:t>GLOBAL  |</w:t>
    </w:r>
    <w:proofErr w:type="gramEnd"/>
    <w:r>
      <w:rPr>
        <w:b/>
        <w:color w:val="1A5276"/>
        <w:sz w:val="18"/>
      </w:rPr>
      <w:t xml:space="preserve">  Technical Report: Chitosan Inclusion in Swine Diets</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0D80"/>
    <w:multiLevelType w:val="hybridMultilevel"/>
    <w:tmpl w:val="47B69EC0"/>
    <w:lvl w:ilvl="0" w:tplc="B2FC1F4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D08DA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87EB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1820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46851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4CF07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2889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FC16C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7CD31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3DE79CD"/>
    <w:multiLevelType w:val="hybridMultilevel"/>
    <w:tmpl w:val="0E10BFFC"/>
    <w:lvl w:ilvl="0" w:tplc="ACCCA75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768A1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8E504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A8B4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1CBF7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A2827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A840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7C81E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9A3AE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4F37F8"/>
    <w:multiLevelType w:val="hybridMultilevel"/>
    <w:tmpl w:val="D7D46FEE"/>
    <w:lvl w:ilvl="0" w:tplc="986E578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3436F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801BE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76F0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4595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1A881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E0BB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DC5C3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866B2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177FDE"/>
    <w:multiLevelType w:val="hybridMultilevel"/>
    <w:tmpl w:val="8E8898C6"/>
    <w:lvl w:ilvl="0" w:tplc="57BC3B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B8395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B43C1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3418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CC608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788B9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8CB8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EFE7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C6C22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717EFF"/>
    <w:multiLevelType w:val="hybridMultilevel"/>
    <w:tmpl w:val="C56421B2"/>
    <w:lvl w:ilvl="0" w:tplc="0A68847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E2F1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9E0FC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8CA6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C8CFB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2E951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2CAC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EC9AE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64D64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64D6295"/>
    <w:multiLevelType w:val="hybridMultilevel"/>
    <w:tmpl w:val="78002ACE"/>
    <w:lvl w:ilvl="0" w:tplc="7020FF4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2EDF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440B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84ED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88A05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42BF2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127D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9CF14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8AD2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ED35972"/>
    <w:multiLevelType w:val="hybridMultilevel"/>
    <w:tmpl w:val="7D882AA2"/>
    <w:lvl w:ilvl="0" w:tplc="0EBA6E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A326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C6500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D8AE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A6473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12B6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E4A2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6ECAD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663CF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95743882">
    <w:abstractNumId w:val="3"/>
  </w:num>
  <w:num w:numId="2" w16cid:durableId="1100369734">
    <w:abstractNumId w:val="6"/>
  </w:num>
  <w:num w:numId="3" w16cid:durableId="1244795294">
    <w:abstractNumId w:val="2"/>
  </w:num>
  <w:num w:numId="4" w16cid:durableId="467480339">
    <w:abstractNumId w:val="0"/>
  </w:num>
  <w:num w:numId="5" w16cid:durableId="725030309">
    <w:abstractNumId w:val="4"/>
  </w:num>
  <w:num w:numId="6" w16cid:durableId="852379712">
    <w:abstractNumId w:val="5"/>
  </w:num>
  <w:num w:numId="7" w16cid:durableId="631986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18"/>
    <w:rsid w:val="000F6918"/>
    <w:rsid w:val="004D59C4"/>
    <w:rsid w:val="00964F26"/>
    <w:rsid w:val="00F5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BFA4"/>
  <w15:docId w15:val="{E3522BA4-C3EA-434A-BA71-76A53546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3" w:line="24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right="1173"/>
      <w:jc w:val="right"/>
      <w:outlineLvl w:val="0"/>
    </w:pPr>
    <w:rPr>
      <w:rFonts w:ascii="Arial" w:eastAsia="Arial" w:hAnsi="Arial" w:cs="Arial"/>
      <w:b/>
      <w:color w:val="154360"/>
      <w:sz w:val="40"/>
    </w:rPr>
  </w:style>
  <w:style w:type="paragraph" w:styleId="Heading2">
    <w:name w:val="heading 2"/>
    <w:next w:val="Normal"/>
    <w:link w:val="Heading2Char"/>
    <w:uiPriority w:val="9"/>
    <w:unhideWhenUsed/>
    <w:qFormat/>
    <w:pPr>
      <w:keepNext/>
      <w:keepLines/>
      <w:spacing w:after="15" w:line="250" w:lineRule="auto"/>
      <w:ind w:left="10" w:right="998" w:hanging="10"/>
      <w:outlineLvl w:val="1"/>
    </w:pPr>
    <w:rPr>
      <w:rFonts w:ascii="Arial" w:eastAsia="Arial" w:hAnsi="Arial" w:cs="Arial"/>
      <w:b/>
      <w:color w:val="1A5276"/>
      <w:sz w:val="32"/>
    </w:rPr>
  </w:style>
  <w:style w:type="paragraph" w:styleId="Heading3">
    <w:name w:val="heading 3"/>
    <w:next w:val="Normal"/>
    <w:link w:val="Heading3Char"/>
    <w:uiPriority w:val="9"/>
    <w:unhideWhenUsed/>
    <w:qFormat/>
    <w:pPr>
      <w:keepNext/>
      <w:keepLines/>
      <w:spacing w:after="38" w:line="259" w:lineRule="auto"/>
      <w:ind w:left="10" w:hanging="10"/>
      <w:outlineLvl w:val="2"/>
    </w:pPr>
    <w:rPr>
      <w:rFonts w:ascii="Arial" w:eastAsia="Arial" w:hAnsi="Arial" w:cs="Arial"/>
      <w:b/>
      <w:color w:val="2E86C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2E86C1"/>
      <w:sz w:val="26"/>
    </w:rPr>
  </w:style>
  <w:style w:type="character" w:customStyle="1" w:styleId="Heading2Char">
    <w:name w:val="Heading 2 Char"/>
    <w:link w:val="Heading2"/>
    <w:rPr>
      <w:rFonts w:ascii="Arial" w:eastAsia="Arial" w:hAnsi="Arial" w:cs="Arial"/>
      <w:b/>
      <w:color w:val="1A5276"/>
      <w:sz w:val="32"/>
    </w:rPr>
  </w:style>
  <w:style w:type="character" w:customStyle="1" w:styleId="Heading1Char">
    <w:name w:val="Heading 1 Char"/>
    <w:link w:val="Heading1"/>
    <w:rPr>
      <w:rFonts w:ascii="Arial" w:eastAsia="Arial" w:hAnsi="Arial" w:cs="Arial"/>
      <w:b/>
      <w:color w:val="15436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1954</Words>
  <Characters>11863</Characters>
  <Application>Microsoft Office Word</Application>
  <DocSecurity>0</DocSecurity>
  <Lines>289</Lines>
  <Paragraphs>270</Paragraphs>
  <ScaleCrop>false</ScaleCrop>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steve nice</cp:lastModifiedBy>
  <cp:revision>2</cp:revision>
  <dcterms:created xsi:type="dcterms:W3CDTF">2026-05-18T19:56:00Z</dcterms:created>
  <dcterms:modified xsi:type="dcterms:W3CDTF">2026-05-18T19:56:00Z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7c441372-3938-4f82-a038-98420e4e97b6</vt:lpwstr>
  </property>
</Properties>
</file>